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F-2933/2025 vom 7. Mai 2025</w:t>
      </w:r>
    </w:p>
    <w:p>
      <w:r>
        <w:t>Bundesverwaltungsgericht, 2025-05-07, DE</w:t>
      </w:r>
    </w:p>
    <w:p>
      <w:r>
        <w:rPr>
          <w:b/>
        </w:rPr>
        <w:t xml:space="preserve">Quelle: </w:t>
      </w:r>
      <w:r>
        <w:t>https://mcp.opencaselaw.ch/entscheid/bvger_F-2933_2025</w:t>
      </w:r>
    </w:p>
    <w:p>
      <w:r>
        <w:t>FR: TAF F-2933/2025 du 7 mai 2025</w:t>
      </w:r>
    </w:p>
    <w:p>
      <w:r>
        <w:t>IT: TAF F-2933/2025 del 7 maggio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t>F-2933/2025 Seite 3</w:t>
      </w:r>
    </w:p>
    <w:p>
      <w:r>
        <w:rPr>
          <w:b/>
        </w:rPr>
        <w:t>E. 1.2</w:t>
      </w:r>
    </w:p>
    <w:p>
      <w:r>
        <w:t>Das Rechtsmittelverfahren vor dem Bundesverwaltungsgericht richtet sich nach dem VwVG, soweit das AsylG oder das VGG nichts anderes be- stimmen (Art. 37 VGG;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In formeller Hinsicht macht die Beschwerdeführerin geltend, das SEM habe es unterlassen, ihren Anspruch auf Kantonszuweisung gestützt auf Art. 26 des Abkommens vom 28. Juli 1951 über die Rechtsstellung der Flüchtlinge (FK, SR 0.142.30) sowie Art. 58 AsylG inklusive allfälliger Wi- derrufsgründe gemäss Art. 63 AIG (SR 142.20) zu prüfen. Es habe sich lediglich darauf beschränkt, einen allfälligen Anspruch auf Kantonswahl un- ter dem Gesichtspunkt der Einheit der Familie zu prüfen. Dadurch komme es nicht nur zum falschen Schluss, die Beschwerdeführerin habe keinen Anspruch auf Wahl ihres Wohnsitzkantons, sondern verletze auch ihren Anspruch auf rechtliches Gehör gemäss Art. 29 Abs. 2 BV und Art. 35 VwVG. Demzufolge sei der Sachverhalt unvollständig abgeklärt und der Untersuchungsgrundsatz verletzt (vgl. Beschwerde Ziff. 4).</w:t>
      </w:r>
    </w:p>
    <w:p>
      <w:r>
        <w:rPr>
          <w:b/>
        </w:rPr>
        <w:t>E. 2.2</w:t>
      </w:r>
    </w:p>
    <w:p>
      <w:r>
        <w:t>Der Anspruch auf rechtliches Gehör (Art. 29 Abs. 2 BV und Art 29 VwVG) umfasst eine Vielzahl verschiedener verfahrensrechtlicher Garan- tien. Das Kernelement des rechtlichen Gehörs ist das Recht der betroffe- nen Person auf vorgängige Äusserung und Anhörung. Die Behörden haben alsdann die Pflicht, alle form- und fristgerecht eingebrachten Vorbringen einer Partei, die zur Sache gehören und zu deren Klärung beitragen kön- nen, zu prüfen, zu würdigen und bei der Entscheidfindung zu berücksichti- gen (Art. 32 Abs. 1 VwVG). In einer engen Verbindung zur Prüfungs- und Berücksichtigungspflicht steht die Pflicht der Behörden, ihren Entscheid zu begründen (Art. 35 Abs. 1 VwVG). Die Begründung muss so abgefasst sein, dass die betroffene Person den Entscheid gegebenenfalls sachge- recht anfechten kann. Die Behörde hat daher kurz die wesentlichen</w:t>
      </w:r>
    </w:p>
    <w:p>
      <w:r>
        <w:t>F-2933/2025 Seite 4 Überlegungen zu nennen, von denen sie sich leiten liess und auf die sich ihr Entscheid abstützt (vgl. BGE 137 II 266 E. 3.2; 136 I 184 E. 2.2.1; 133 III 439 E. 3.3).</w:t>
      </w:r>
    </w:p>
    <w:p>
      <w:r>
        <w:rPr>
          <w:b/>
        </w:rPr>
        <w:t>E. 2.3</w:t>
      </w:r>
    </w:p>
    <w:p>
      <w:r>
        <w:t>Im Asylverfahren gilt wie im übrigen Verwaltungsverfahren der Untersuchungsgrundsatz. Das heisst, die Behörde hat den rechts- erheblichen Sachverhalt vor ihrem Entscheid von Amtes wegen vollständig und richtig abzuklären (Art. 6 AsylG i.V.m. Art. 12 VwVG). Dabei muss sie die für das Verfahren erforderlichen Sachverhaltsunterlagen beschaffen, die relevanten Umstände abklären und darüber ordnungsgemäss Beweis führen. Die Sachverhaltsfeststellung ist unvollständig, wenn die Behörde nicht alle für den Entscheid rechtsrelevanten Sachumstände berücksichtigt hat. Der Untersuchungsgrundsatz findet seine Grenze an der Mitwirkungspflicht der Asylsuchenden (vgl. Art. 8 AsylG; Art. 13 VwVG; zum Ganzen BVGE 2016/27 E. 9.1.1 m.H.).</w:t>
      </w:r>
    </w:p>
    <w:p>
      <w:r>
        <w:rPr>
          <w:b/>
        </w:rPr>
        <w:t>E. 2.4</w:t>
      </w:r>
    </w:p>
    <w:p>
      <w:r>
        <w:t>Nach ständiger Rechtsprechung des Bundesverwaltungsgerichts begründet Art. 26 FK für Flüchtlinge mit Asylstatus einen Anspruch auf freie Kantonszuweisung beziehungsweise -wechsel, sofern nicht Widerrufs- gründe nach Art. 63 AIG vorliegen und sich eine darauf gestützte Verweigerung als verhältnismässig erweist (vgl. BVGE 2012/2 E. 5.2.2; zuletzt Urteile des BVGer F-1223/2025 und F-1233/2025 vom 4. März 2025 E. 2.2 m.w.H.).</w:t>
      </w:r>
    </w:p>
    <w:p>
      <w:r>
        <w:rPr>
          <w:b/>
        </w:rPr>
        <w:t>E. 2.5</w:t>
      </w:r>
    </w:p>
    <w:p>
      <w:r>
        <w:t>Vor diesem Hintergrund wäre die Vorinstanz gehalten gewesen, sich in ihrer Verfügung vom 17. April 2025 mit der Rechtsstellung der Beschwerde- führerin als Flüchtling und einem damit zusammenhängenden Anspruch auf Wahl des Aufenthaltsorts auseinanderzusetzen sowie dazu allenfalls weitere Abklärungen vorzunehmen. Insoweit erweist sich der Sachverhalt als unvollständig abgeklärt und der Untersuchungsgrundsatz ist verletzt (Art. 6 AsylG i.V.m. Art. 12 VwVG; Art. 49 Bst. b VwVG; siehe auch Urteil des BVGer F-1223/2025 vom 4. März 2025 E. 2.3).</w:t>
      </w:r>
    </w:p>
    <w:p>
      <w:r>
        <w:rPr>
          <w:b/>
        </w:rPr>
        <w:t>E. 2.6</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weshalb die Sache an</w:t>
      </w:r>
    </w:p>
    <w:p>
      <w:r>
        <w:t>F-2933/2025 Seite 5 die Vorinstanz zurückzuweisen ist. Demnach hat das SEM den Anspruch der Beschwerdeführerin auf Kantonszuweisung zu berücksichtigen und zu prüfen, ob ihrer Zuweisung in den Kanton Zürich Widerrufsgründe im Sinne von Art. 63 AIG entgegenstehen könnten. Falls dies der Fall sein sollte, hat es abzuklären, ob sich eine darauf gestützte Verweigerung als verhältnis- mässig erweist.</w:t>
      </w:r>
    </w:p>
    <w:p>
      <w:r>
        <w:rPr>
          <w:b/>
        </w:rPr>
        <w:t>E. 3.1</w:t>
      </w:r>
    </w:p>
    <w:p>
      <w:r>
        <w:t>Die Beschwerde ist gutzuheissen. Die Dispositiv-Ziffer 3 der angefoch- tenen Verfügung ist aufzuheben und die Sache zur vollständigen Sachver- haltsabklärung im Sinne der Erwägungen sowie zur neuen Entscheidung an die Vorinstanz zurückzuweisen.</w:t>
      </w:r>
    </w:p>
    <w:p>
      <w:r>
        <w:rPr>
          <w:b/>
        </w:rPr>
        <w:t>E. 3.2</w:t>
      </w:r>
    </w:p>
    <w:p>
      <w:r>
        <w:t>Was den Zuweisungsentscheid des SEM vom 22. April 2025 betrifft, so wurde darin lediglich wiederholt, was bereits mit Entscheid vom 17. April 2025 verfügt wurde. In diesem Sinn ist die erneute Zuweisung lediglich de- klaratorisch und es erübrigt sich, im vorliegenden Verfahren weiter darauf einzugehen.</w:t>
      </w:r>
    </w:p>
    <w:p>
      <w:r>
        <w:rPr>
          <w:b/>
        </w:rPr>
        <w:t>E. 4.1</w:t>
      </w:r>
    </w:p>
    <w:p>
      <w:r>
        <w:t>Bei diesem Ausgang des Verfahrens sind keine Kosten zu erheben (Art. 63 Abs. 1 und 2 VwVG) und es erübrigt sich, über das Gesuch um unentgeltliche Rechtspflege zu befinden. Das Gesuch um Erteilung der aufschiebenden Wirkung der Beschwerde ist mit vorliegendem Urteil ge- genstandslos geworden.</w:t>
      </w:r>
    </w:p>
    <w:p>
      <w:r>
        <w:rPr>
          <w:b/>
        </w:rPr>
        <w:t>E. 4.2</w:t>
      </w:r>
    </w:p>
    <w:p>
      <w:r>
        <w:t>Eine Parteientschädigung ist der Beschwerdeführerin trotz ihres Obsie- gens nicht auszurichten, da es sich vorliegend um eine zugewiesene un- entgeltliche Rechtsvertretung im Sinne von Art. 102h AsylG handelt, deren Leistungen vom Bund nach Massgabe von Art. 102k AsylG entschädigt werden (vgl. auch Art. 111ater AsylG).</w:t>
      </w:r>
    </w:p>
    <w:p>
      <w:r>
        <w:rPr>
          <w:b/>
        </w:rPr>
        <w:t>E. 5</w:t>
      </w:r>
    </w:p>
    <w:p>
      <w:r>
        <w:t>Dieses Urteil ist endgültig (Art. 83 Bst. d Ziff. 1 BGG).</w:t>
      </w:r>
    </w:p>
    <w:p>
      <w:r>
        <w:t>(Dispositiv nächste Seite)</w:t>
      </w:r>
    </w:p>
    <w:p>
      <w:r>
        <w:t>F-2933/2025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