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F-2931/2024 vom 16. Mai 2024</w:t>
      </w:r>
    </w:p>
    <w:p>
      <w:r>
        <w:t>Bundesverwaltungsgericht, 2024-05-16, DE</w:t>
      </w:r>
    </w:p>
    <w:p>
      <w:r>
        <w:rPr>
          <w:b/>
        </w:rPr>
        <w:t xml:space="preserve">Quelle: </w:t>
      </w:r>
      <w:r>
        <w:t>https://mcp.opencaselaw.ch/entscheid/bvger_F-2931_2024</w:t>
      </w:r>
    </w:p>
    <w:p>
      <w:r>
        <w:t>FR: TAF F-2931/2024 du 16 mai 2024</w:t>
      </w:r>
    </w:p>
    <w:p>
      <w:r>
        <w:t>IT: TAF F-2931/2024 del 16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In der Beschwerde werden verschiedene formelle Rügen erhoben, welche vorab zu beurteilen sind.</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3.2.1</w:t>
      </w:r>
    </w:p>
    <w:p>
      <w:r>
        <w:t>Die Beschwerdeführenden rügen, die Beschwerdeführerin 4 sei von der Vorinstanz nie angehört worden, wodurch das rechtliche Gehör verletzt worden sei.</w:t>
      </w:r>
    </w:p>
    <w:p>
      <w:r>
        <w:rPr>
          <w:b/>
        </w:rPr>
        <w:t>E. 3.2.2</w:t>
      </w:r>
    </w:p>
    <w:p>
      <w:r>
        <w:t>Die in Art. 12 KRK enthaltene Garantie, in allen das Kind berührenden Gerichts- oder Verwaltungsverfahren entweder unmittelbar oder durch einen Vertreter oder eine geeignete Stelle gehört zu werden, beinhaltet nicht zwingend eine persönliche mündliche Anhörung des Kindes, sondern lediglich eine Anhörung in angemessener Weise. Der Standpunkt des Kindes kann auch schriftlich zum Ausdruck gebracht werden. Ferner ermöglicht Art. 12 Abs. 2 KRK die Anhörung eines Vertreters des Kindes. Soweit sich die Interessenlage des Kindes mit derjenigen seiner Eltern deckt, kann auf eine gesonderte Anhörung des Kindes (bzw. dessen Vertreters) verzichtet werden (Urteil des BGer 2C_372/2008 vom 25. September 2008 E. 2). Die Tochter der Beschwerdeführenden 1 und 2 ist (...) Jahre alt. Kinder in diesem Alter werden grundsätzlich nicht angehört. Der Standpunkt der minderjährigen Tochter gelangte im vorinstanzlichen Verfahren durch die jeweils im Dublin-Gespräch gewährte Möglichkeit, sich zu allfälligen Gründen, welche gegen eine Wegweisung der Beschwerdeführerin 4 sprechen würden, zu äussern, zur Kenntnis. Von dieser Möglichkeit machten die Beschwerdeführenden 1 und 2 Gebrauch (vgl. SEM act. 1323439-34/4 und SEM act. 1323439-36/3, jeweils S. 2 f.). Der Standpunkt der minderjährigen Tochter gelangte durch diese Stellungnahmen sowie durch die wenigen Vorbringen des Beschwerdeführers 3 in dessen Dublin-Gespräch (vgl. SEM act. 1323439-38/2 S. 2) und die Ausführungen inklusive der eingereichten Beweismittel im Rahmen des vorliegenden Verfahrens genügend zum Ausdruck. Die Beschwerdeführenden 1-3 verfolgen dasselbe Ziel wie die Beschwerdeführerin 4, nämlich das Eintreten auf ihre Asylgesuche. Die aus der KRK fliessenden Verfahrensrechte der Beschwerdeführerin 4 wurden somit gewahrt, weshalb keine Verletzung des rechtlichen Gehörs vorliegt.</w:t>
      </w:r>
    </w:p>
    <w:p>
      <w:r>
        <w:rPr>
          <w:b/>
        </w:rPr>
        <w:t>E. 3.2.3</w:t>
      </w:r>
    </w:p>
    <w:p>
      <w:r>
        <w:t>Sodann rügen die Beschwerdeführenden eine Verletzung der Begründungspflicht, zumal es die Vorinstanz unterlassen habe, sich mit der aktuellen Situation in Kroatien im Allgemeinen, dem ihnen widerfahrenen Leid vor Ort sowie den medizinischen - insbesondere den psychischen - Problemen und ihrer spezifischen Situation auseinanderzusetzen. Dieser verfahrensrechtlichen Anforderung hat die Vorinstanz jedoch Genüge getan. So hat sie eine Einzelfallprüfung vorgenommen, indem sie nach Prüfung sowie Würdigung der Parteivorbringen und Unterlagen nachvollziehbar aufgezeigt hat, von welchen Überlegungen sie sich - gerade auch in individueller Hinsicht - leiten liess (vgl. SEM act. 1323439-51/18 [nachfolgend: act. 51] S. 5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illegalen Einreise der Beschwerdeführenden respektive zur damit im Zusammenhang stehenden Problematik von Push-Backs, zur Frage einer Kettenabschiebung und zu derjenigen des Vorliegens von systemischen Mängeln im kroatischen Asyl- und Aufnahmesystem, zu den vorgebrachten gesundheitlichen Problemen sowie zu ihren Möglichkeiten, sich gegen unkorrektes Verhalten zu wehren und medizinisch versorgt zu werden, zu entnehmen. Ebenso enthalten diese Erwägungen mit Blick auf die Anwesenheit des volljährigen Sohnes J._______ (N [...]) in der Schweiz Ausführungen zu Art. 16 Dublin-III-VO sowie eine Prüfung des Kindeswohls (vgl. SEM act. 51 S. 8 und 11).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der Aktenlage nicht teilen, ist keine Verletzung des rechtlichen Gehörs, sondern betrifft die materielle Beurteilung der vorgebrachten Überstellungshindernisse.</w:t>
      </w:r>
    </w:p>
    <w:p>
      <w:r>
        <w:rPr>
          <w:b/>
        </w:rPr>
        <w:t>E. 3.3.1</w:t>
      </w:r>
    </w:p>
    <w:p>
      <w:r>
        <w:t>Der Beschwerdeführenden bemängeln alsdann, im Vorgehen des SEM sei eine Verletzung des Untersuchungsgrundsatzes zu erkennen. Insbesondere habe die Vorinstanz die Vulnerabilität der ganzen Familie missachtet und die Beeinträchtigung ihres Gesundheitszustands lediglich zur Kenntnis genommen oder weitere Abklärungen nicht durchgeführt beziehungsweise nicht abgewartet. Weiter sei der Verfügung keine Prüfung der individuellen Gefahr für ihre Personen in Kroatien zu entnehmen, so im Zusammenhang mit systemischen Mängeln im kroatischen Asylverfahren, der dortigen aktuellen Situation, der Gefahr einer Kettenabschiebung, dem ihnen widerfahrenen beziehungsweise bevorstehenden Leid vor Ort und der Gesundheitsversorgung.</w:t>
      </w:r>
    </w:p>
    <w:p>
      <w:r>
        <w:rPr>
          <w:b/>
        </w:rPr>
        <w:t>E. 3.3.2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(vgl. BVGE 2008/43 E. 7.5.6; vgl. auch Benjamin Schindler, in: Kommentar zum VwVG, 2. Aufl. 2019, Art. 49 N. 29).).</w:t>
      </w:r>
    </w:p>
    <w:p>
      <w:r>
        <w:rPr>
          <w:b/>
        </w:rPr>
        <w:t>E. 3.3.3</w:t>
      </w:r>
    </w:p>
    <w:p>
      <w:r>
        <w:t>Das SEM hat den rechtserheblichen Sachverhalt hinreichend abgeklärt. Es hat sich unter Bezugnahme auf die Schilderungen der Beschwerdeführenden und den vorliegenden Unterlagen (vgl. SEM act. 51 S. 2 ff.) mit ihrer individuellen Situation, dem Asylverfahren und den Aufnahmebedingungen in Kroatien, der von ihnen angeführten Behandlung nach ihrem Grenzübertritt in Kroatien, den ihnen offenstehenden Möglichkeiten, sich dort gegen ungerechte oder rechtswidrige Behandlung zu wehren, der allgemeinen Situation inklusive der Push-Back-Problematik - unter Hinweis auf mehrere Abklärungen der Schweizer Vertretung in Kroatien - und der Möglichkeit, sich bei allfälligen gesundheitlichen Problemen in Kroatien behandeln zu lassen, sowie mit der verfahrensrechtlichen Situation des volljährigen Sohns in der Schweiz sowie mit dem Kindeswohl befasst. Das SEM hat sich in seiner Verfügung insbesondere auch mit dem Gesundheitszustand aller Beschwerdeführenden einlässlich und rechtsgenüglich auseinandergesetzt und dazu den medizinischen Sachverhalt gestützt auf ihre Angaben in den Dublin-Gesprächen, den in den Akten liegenden medizinischen Berichten und seinen eigenen Abklärungen, zusammengefasst (vgl. SEM act. 51, S. 9 ff.). Weitere medizinische Abklärungen hielt das SEM hingegen zu Recht nicht für erforderlich (vgl. auch nachfolgende E. 7.2.3). Es ist somit nicht ersichtlich, in welcher Hinsicht im vorliegenden Verfahren konkretere weitere Abklärungen hätten vorgenommen werden müssen. Es ist somit keine Verletzung des Untersuchungsgrundsatzes festzustellen.</w:t>
      </w:r>
    </w:p>
    <w:p>
      <w:r>
        <w:rPr>
          <w:b/>
        </w:rPr>
        <w:t>E. 3.4</w:t>
      </w:r>
    </w:p>
    <w:p>
      <w:r>
        <w:t>Die formellen Rügen erweisen sich somit als unbegründet. Es besteht keine Veranlassung, die Sache zur Neubeurteilung an die Vorinstanz zurückzuweisen. Das diesbezügliche Eventualbegehren (Rechtsbegehren Ziff. 3)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5.1</w:t>
      </w:r>
    </w:p>
    <w:p>
      <w:r>
        <w:t>Vorliegend sind sowohl die Antragsstellung in Kroatien als auch der Umstand als erstellt zu erachten, dass das kroatische Verfahren zur Bestimmung des für die Asylgesuche der Beschwerdeführenden zuständigen Mitgliedstaates gemäss Art. 20 Abs. 5 Dublin-III-VO noch nicht abgeschlossen wurde und nach ihrer Rücküberstellung fortgesetzt wird (vgl.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5.2</w:t>
      </w:r>
    </w:p>
    <w:p>
      <w:r>
        <w:t>Weiter sind auch aus Art. 16 Abs. 1 Dublin-III-VO keine Gründe ersichtlich, die eine Pflicht der Schweiz zur Prüfung des Asylgesuchs der Beschwerdeführenden begründen könnten. Ihr sich ebenfalls in der Schweiz - als Asylbewerber - aufhaltender volljähriger Sohn/Bruder stellt weder einen Familienangehörigen im Sinne von Art. 2 Bst. g Dublin-III-VO dar, noch fällt die Beziehung zu ihm in den Anwendungsbereich von Art. 16 Abs. 1 der Dublin-III-VO. Die grundsätzliche Zuständigkeit Kroatiens (vgl. auch E. 5.1 hievor) bleibt deshalb bestehen.</w:t>
      </w:r>
    </w:p>
    <w:p>
      <w:r>
        <w:rPr>
          <w:b/>
        </w:rPr>
        <w:t>E. 6</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6.1</w:t>
      </w:r>
    </w:p>
    <w:p>
      <w:r>
        <w:t>Kroatien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des Übereinkommens vom 20. November 1989 über die Rechte des Kindes (KRK, SR 0.107)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derzeit - auch unter Berücksichtigung kritischer Berichte nationaler und internationaler Organisationen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Urteil E-1488/2020 E. 9 sowie insbesondere E. 9.4.2 m.H. auf die Rechtsprechung anderer Dublin-Staaten). Die nicht weiter belegten Ausführungen der Beschwerdeführenden zu erlebter Polizeigewalt und allgemein schlechter Behandlung im Zusammenhang mit ihrer illegalen Einreise sind nicht geeignet, die Annahme zu widerlegen, wonach Kroatien seinen völkerrechtlichen Verpflichtungen im Rahmen eines Asylverfahrens nachkommt (vgl. Referenzurteil E-1488/2020 E. 8 und E. 9.5). Gegen das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6.3</w:t>
      </w:r>
    </w:p>
    <w:p>
      <w:r>
        <w:t>Unter diesen Umständen ist die Anwendung von Art. 3 Abs. 2 Dublin-III-VO nicht gerechtfertigt.</w:t>
      </w:r>
    </w:p>
    <w:p>
      <w:r>
        <w:rPr>
          <w:b/>
        </w:rPr>
        <w:t>E. 7.1</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Beamten, das sich im Übrigen auf Vorkommnisse nach ihrer illegalen Einreise und nicht auf den Aufenthalt in den dortigen Aufenthaltsstrukturen bezieht. Auch im Lichte von Art. 3 Abs. 1 KRK steht einer Überstellung nach Kroatien nichts entgegen: Die Kinder - so insbesondere die Beschwerdeführerin 4 - sind aufgrund ihres Alters beziehungsmässig noch relativ stark auf ihre Eltern fixiert und angesichts der kurzen Aufenthaltsdauer in der Schweiz hier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die Kinder würden von ihren Eltern getrennt. Es kann in Übereinstimmung mit der aktuellen Rechtsprechung davon ausgegangen werden, dass sie Zugang zu adäquater Unterbringung und Unterstützung erhalten werden (vgl. Urteil des BVGer F-1562/2024 vom 18. März 2024 E. 9.2 m.H.). Schliesslich ist festzuhalten, dass allfällige psychische Probleme der Beschwerdeführenden angesichts der geschilderten Erlebnisse leider nicht überraschen. Es sind indes keine Hinweise auf unverzüglich behandlungsbedürftige Beeinträchtigungen ersichtlich (vgl. nachstehend E. 7.2).</w:t>
      </w:r>
    </w:p>
    <w:p>
      <w:r>
        <w:rPr>
          <w:b/>
        </w:rPr>
        <w:t>E. 7.2.1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das Urteil Savran gegen Dänemark vom 7. Dezember 2021, Grosse Kammer, 57467/15, §§ 121 ff.).</w:t>
      </w:r>
    </w:p>
    <w:p>
      <w:r>
        <w:rPr>
          <w:b/>
        </w:rPr>
        <w:t>E. 7.2.2</w:t>
      </w:r>
    </w:p>
    <w:p>
      <w:r>
        <w:t>Betreffend den Gesundheitszustand der Beschwerdeführenden lässt sich den vorinstanzlichen Akten entnehmen, dass (Darlegung des Gesundheitszustands der Familie sowie der bisherigen und vorgesehenen Behandlungen) (vgl. SEM act. 1323439-42/2 - 1323439-48/2).</w:t>
      </w:r>
    </w:p>
    <w:p>
      <w:r>
        <w:rPr>
          <w:b/>
        </w:rPr>
        <w:t>E. 7.2.3</w:t>
      </w:r>
    </w:p>
    <w:p>
      <w:r>
        <w:t>Die erwähnten Beschwerden sind aufgrund der Aktenlage nicht derart schwerwiegend, dass davon ausgegangen werden müsste, die Beschwerdeführenden könnten nicht auch in Kroatien adäquat behandelt werden, wo grundsätzlich eine durchaus ausreichende medizinische Infrastruktur zur Verfügung steht (vgl. insbes. Referenzurteil E-1488/2020 a.a.O. E. 10.2, statt vieler das Urteil BVGer E-2952/2023 vom 31. Mai 2023 E. 7.3, je m.w.H.). Nebst den staatlichen Einrichtungen bestehen in Kroatien auch Angebote von Nichtregierungsorganisationen für die psychische Betreuung. Es kann davon ausgegangen werden, dass den Beschwerdeführenden eine angemessene medizinische Versorgung und eine allenfalls nötige psychiatrische und/oder psychologische Therapie zur Verfügung stehen wird (vgl. statt vieler: Urteil des BVGer F-663/2023 vom 17. Januar 2024 E. 4.3 m.w.H.). Es gibt keine Anhaltspunkte dafür, dass ihnen dort nach einer Überstellung eine allenfalls erforderliche medizinische Behandlung verweigert würde, zumal die Mitgliedstaaten zur entsprechenden Erbringung verpflichtet sind (vgl. Art. 26 Aufnahmerichtlinie). Vor diesem Hintergrund kann auf die Nachforderung von zusätzlichen medizinischen Berichten mit Blick auf allfällige weitere ärztliche Termine - so namentlich (Nennung Termine) - respektive Behandlungen verzichtet werden (antizipierte Beweiswürdigung; vgl. BVGE 2008/24 E. 7.2 S. 357). Der medizinische Sachverhalt ist demnach als genügend abgeklärt zu erachten. Insgesamt droht keine Verletzung von Art. 3 EMRK, weshalb die Schweiz nicht zum Selbsteintritt nach Art. 17 Abs. 1 Dublin-III-VO verpflichtet ist.</w:t>
      </w:r>
    </w:p>
    <w:p>
      <w:r>
        <w:rPr>
          <w:b/>
        </w:rPr>
        <w:t>E. 7.2.4</w:t>
      </w:r>
    </w:p>
    <w:p>
      <w:r>
        <w:t>Aufgrund der konkreten Ausgangslage ist es nicht angezeigt, die Vorinstanz zu verpflichten, bei den kroatischen Behörden individuelle Garantien hinsichtlich Unterkunft, Nahrung und adäquater medizinischer Versorgung einzuholen. Der entsprechende Eventualantrag (Rechtsbegehren Ziff. 4) ist abzuweisen.</w:t>
      </w:r>
    </w:p>
    <w:p>
      <w:r>
        <w:rPr>
          <w:b/>
        </w:rPr>
        <w:t>E. 7.3</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w:t>
      </w:r>
    </w:p>
    <w:p>
      <w:r>
        <w:rPr>
          <w:b/>
        </w:rPr>
        <w:t>E. 8.2</w:t>
      </w:r>
    </w:p>
    <w:p>
      <w:r>
        <w:t>Nach dem Gesagten bleibt Kroatien der für die Behandlung der Asylgesuche der Beschwerdeführenden zuständige Mitgliedstaat gemäss Dublin-III-VO.</w:t>
      </w:r>
    </w:p>
    <w:p>
      <w:r>
        <w:rPr>
          <w:b/>
        </w:rPr>
        <w:t>E. 9</w:t>
      </w:r>
    </w:p>
    <w:p>
      <w:r>
        <w:t>Das SEM ist zu Recht in Anwendung von Art. 31a Abs. 1 Bst. b AsylG auf die Asylgesuche der Beschwerdeführenden nicht eingetreten. Die Überstellung nach Kroatien wurde in Anwendung von Art. 44 AsylG ebenfalls zu Recht angeordnet.</w:t>
      </w:r>
    </w:p>
    <w:p>
      <w:r>
        <w:rPr>
          <w:b/>
        </w:rPr>
        <w:t>E. 10</w:t>
      </w:r>
    </w:p>
    <w:p>
      <w:r>
        <w:t>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13. Mai 2024 verfügte einstweilige Vollzugsstopp fällt mit dem vorliegenden Urteil dahin.</w:t>
      </w:r>
    </w:p>
    <w:p>
      <w:r>
        <w:rPr>
          <w:b/>
        </w:rPr>
        <w:t>E. 12</w:t>
      </w:r>
    </w:p>
    <w:p>
      <w:r>
        <w:t>Das Gesuch um Gewährung der unentgeltlichen Prozessführung ist abzuweisen, da die Beschwerde gemäss den vorstehenden Erwägungen als aussichtslos zu bezeichnen war. Daher fehlt es, unbesehen der finanziellen Verhältnisse der Beschwerdeführenden, an einer gesetzlichen Voraussetzung gemäss Art. 65 Abs. 1 VwVG. Unter diesen Umständen ist auch das - nicht weiter begründete - Gesuch um Beiordnung einer amtlichen Rechtsvertretung abzuweisen.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