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F-2919/2016 vom 3. Mai 2017</w:t>
      </w:r>
    </w:p>
    <w:p>
      <w:r>
        <w:t>Bundesverwaltungsgericht, 2017-05-03, DE</w:t>
      </w:r>
    </w:p>
    <w:p>
      <w:r>
        <w:rPr>
          <w:b/>
        </w:rPr>
        <w:t xml:space="preserve">Quelle: </w:t>
      </w:r>
      <w:r>
        <w:t>https://mcp.opencaselaw.ch/entscheid/bvger_F-2919_2016</w:t>
      </w:r>
    </w:p>
    <w:p>
      <w:r>
        <w:t>FR: TAF F-2919/2016 du 3 mai 2017</w:t>
      </w:r>
    </w:p>
    <w:p>
      <w:r>
        <w:t>IT: TAF F-2919/2016 del 3 maggio 2017</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die angefochtene Verfügung zunächst in formeller Hinsicht. Seiner Ansicht nach liegt eine Gehörsverletzung (Art. 29 Abs. 2 BV) darin, dass das SEM keine Interessenabwägung vorgenommen und auch nicht ausgeführt habe, inwiefern er eine Gefahr für die öffentliche Sicherheit und Ordnung darstellen solle, die ein mehr als fünf Jahre dauerndes Einreiseverbot rechtfertige. Auch fehle eine Auseinandersetzung bezüglich der Beziehung zu seiner (in der Schweiz lebenden) fünfjährigen Tochter. Das SEM habe sich in der Begründung als Rechtfertigung für das sehr lange Einreiseverbot auf den Hinweis beschränkt, dass besonders hochwertige Rechtsgüter verletzt worden seien. Sein persönliches Verhalten sei nicht beurteilt worden und auch den geltend gemachten familienrechtlichen Gründen sei nicht in hinreichendem Masse Rechnung getragen worden. Soweit die diesbezüglichen Vorbringen auch Sachverhaltsvorbringen, Rechtsverletzungen sowie das Ermessen oder die Angemessenheit betreffen, bilden sie jedoch Gegenstand der materiellen Beurteilung, welche weiter unten folgen wird.</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 Lorenz Kneubühler, Die Begründungspflicht, 1998, S. 26 ff. u. 178 ff.; Michele Albertini, Der verfassungsmässige Anspruch auf rechtliches Gehör im Verwaltungsverfahren des modernen Staates, 2000, S. 369 u. S. 404 m.H.).</w:t>
      </w:r>
    </w:p>
    <w:p>
      <w:r>
        <w:rPr>
          <w:b/>
        </w:rPr>
        <w:t>E. 3.3</w:t>
      </w:r>
    </w:p>
    <w:p>
      <w:r>
        <w:t>Die Vorinstanz führte zur Begründung des Einreiseverbots unter Hinweis auf die Verurteilung des Beschwerdeführers insbesondere aus, diese Delikte (Verbrechen gegen das Betäubungsmittelgesetz und Geldwäscherei [schwerer Fall]) würden schwere Verstösse gegen die Gesetzgebung darstellen. Der Beschwerdeführer habe bewusst die Gesundheit einer Vielzahl von Menschen gefährdet und damit gegen ein besonders wichtiges Schutzgut verstossen. Im Zusammenhang mit schweren Straftaten, wozu qualifizierte Drogendelikte gehören würden, müssten gemäss bundesgerichtlicher Rechtsprechung selbst ein relativ geringes Restrisiko nicht hingenommen werden (BGE 139 I 16 E. 2.2.1 S. 20). Aufgrund des bisherigen Verhaltens, der an den Tag gelegten grossen kriminellen Energie und der Verstösse gegen hochwertige Rechtsgüter sei eine Fernhaltemassnahme von 12 Jahren zur Vermeidung künftiger Delikte angezeigt.</w:t>
      </w:r>
    </w:p>
    <w:p>
      <w:r>
        <w:rPr>
          <w:b/>
        </w:rPr>
        <w:t>E. 3.4</w:t>
      </w:r>
    </w:p>
    <w:p>
      <w:r>
        <w:t>Aus dieser - nicht in voller Länge wiedergegebenen - ausführlichen Begründung war für den Beschwerdeführer klar ersichtlich, dass und aus welchen Gründen die Vorinstanz von einer schwerwiegenden Gefahr für die öffentliche Sicherheit und Ordnung ausging. Es geht detailliert daraus hervor, aus welchen Gründen sie ein zwölfjähriges Einreiseverbot erliess, verwies sie doch explizit auf die vom Beschwerdeführer begangenen Delikte. Ebenso begründete die Vorinstanz die schwerwiegende Gefährdung der öffentlichen Sicherheit und Ordnung, indem sie auf die schweren Delikte des Beschwerdeführers und die damit zusammenhängende bundesgerichtliche Rechtsprechung verwies. Zu berücksichtigen ist ferner, dass das Einreiseverbot zu den quantitativ häufigsten Anordnungen der schweizerischen Verwaltungspraxis zählt und die Vorinstanz gestützt auf den Effizienzgrundsatz speditiv zu entscheiden hat. Die Begründungsdichte der erstinstanzlichen Entscheide kann und muss daher nicht derjenigen höherer Instanzen entsprechen (vgl. Urteil des BVGer C-4898/2012 vom 1. Mai 2014 E. 3.3 m.H.). Insgesamt war es dem Beschwerdeführer denn auch möglich, sachgerecht und vollständig gegen die vorinstanzliche Verfügung zu argumentieren. Die erhobene Rüge der Gehörsverletzung erweist sich demnach als unbegründet.</w:t>
      </w:r>
    </w:p>
    <w:p>
      <w:r>
        <w:rPr>
          <w:b/>
        </w:rPr>
        <w:t>E. 4.1</w:t>
      </w:r>
    </w:p>
    <w:p>
      <w:r>
        <w:t>Ein Einreiseverbot kann unter anderem gegenüber ausländischen Personen verfügt werden, die gegen die öffentliche Sicherheit und Ordnung in der Schweiz oder im Ausland verstossen haben oder diese gefährden (Art. 67 Abs. 2 Bst. a des Ausländergesetzes [AuG, SR 142.20]). Das Einreiseverbot wird für eine Dauer von höchstens fünf Jahren verhängt (Art. 67 Abs. 3 erster Satz AuG). Für eine längere Dauer kann es angeordnet werden, wenn von der ausländischen Person eine schwerwiegende Gefahr für die öffentliche Sicherheit und Ordnung ausgeht (Art. 67 Abs. 3 zweiter Satz AuG). Aus humanitären oder anderen wichtigen Gründen kann die zuständige Behörde von der Verhängung eines Einreiseverbots absehen oder ein Einreiseverbot vollständig oder vorübergehend aufheben (Art. 67 Abs. 5 AuG).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4.3</w:t>
      </w:r>
    </w:p>
    <w:p>
      <w:r>
        <w:t>Das Einreiseverbot dient der Abwendung künftiger Störungen der öffentlichen Sicherheit und Ordnung (siehe Botschaft zum Bundesgesetz über die Ausländerinnen und Ausländer vom 8. März 2002 [im Folgenden: Botschaft] BBl 2002 3709, 3813). Soweit Art. 67 Abs. 2 Bst. a AuG mit dem Verstoss gegen die öffentliche Sicherheit und Ordnung unmittelbar an vergangenes Verhalten des Betroffenen anknüpft, steht die Gefahrenabwehr durch Generalprävention im Sinne des Einwirkens auf andere Rechtsgenossen im Vordergrund (zur Generalprävention im Ausländerrecht vgl. etwa Urteil des BGer 2C_260/2016 vom 6. Juni 2016 E. 2.2 m.H.).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4.4</w:t>
      </w:r>
    </w:p>
    <w:p>
      <w:r>
        <w:t>Die öffentliche Sicherheit und Ordnung im Sinne von Art. 67 Abs. 2 Bst. a AuG bildet den Oberbegriff für die Gesamtheit der polizeilichen Schutzgüter. Sie umfasst u.a. die Unverletzlichkeit der objektiven Rechtsordnung und der Rechtsgüter Einzelner (BBl 2002,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4.5</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etwa Urteil des BVGer F-1091/2015 vom 16. November 2016 E. 3.4 m.w.H.).</w:t>
      </w:r>
    </w:p>
    <w:p>
      <w:r>
        <w:rPr>
          <w:b/>
        </w:rPr>
        <w:t>E. 5</w:t>
      </w:r>
    </w:p>
    <w:p>
      <w:r>
        <w:t>Die Vorinstanz ging in der angefochtenen Verfügung von einer schwerwiegenden Gefahr für die öffentliche Sicherheit und Ordnung im Sinne von Art. 67 Abs. 3 zweiter Satz AuG aus. Demzufolge sah sie sich an die grundsätzliche Begrenzung eines Einreiseverbots auf fünf Jahre, wie sie von Art. 67 Abs. 3 erster Satz AuG vorgesehen ist, nicht gebunden.</w:t>
      </w:r>
    </w:p>
    <w:p>
      <w:r>
        <w:rPr>
          <w:b/>
        </w:rPr>
        <w:t>E. 5.1</w:t>
      </w:r>
    </w:p>
    <w:p>
      <w:r>
        <w:t>Das Strafgericht Basel-Stadt hielt in seinem Urteil vom 16. August 2012 fest, dass das objektive Verschulden des Beschwerdeführers ausserordentlich schwer wiege. Im vorliegenden Fall seien über 40 kg Heroingemisch von der Schweiz aus an diverse Zwischenhändler, zum überwiegenden Teil innerhalb der Schweiz, verschoben worden. Belastend sei zu berücksichtigen, dass sowohl beim Drogenhandel als auch bei der Geldwäscherei noch zusätzliche Qualifikationsmerkmale hinzugekommen seien. So sei von Basel aus innert neun Monaten eine eigentliche Drehscheibe für Heroinbezüge einzig aus finanziellen Motiven etabliert worden. Zudem seien die vom Beschwerdeführer getätigten Geschäfte weit über das hinausgegangen, wozu sie ursprünglich hätten dienen sollen (nämlich der Deckung seiner Schulden beim Betreibungsamt) und es sei auf ihn keinerlei Druck seitens des Kopfs der Bande ausgeübt worden, sondern dieser habe vielmehr einen äusserst kameradschaftlichen Umgang mit dem Beschwerdeführer gepflegt (vgl. Urteil S. 13 f.).</w:t>
      </w:r>
    </w:p>
    <w:p>
      <w:r>
        <w:rPr>
          <w:b/>
        </w:rPr>
        <w:t>E. 5.2</w:t>
      </w:r>
    </w:p>
    <w:p>
      <w:r>
        <w:t>Als Zwischenergebnis ist somit festzustellen, dass der Beschwerdeführer nicht nur den Fernhaltegrund einer Verletzung der öffentlichen Sicherheit und Ordnung im Sinne von Art. 67 Abs. 2 Bst. a erster Halbsatz AuG gesetzt hat. Darüber hinaus lag gegen ihn zum Zeitpunkt der Verfügung aufgrund der involvierten Rechtsgüter der qualifizierte Fernhaltegrund einer schwerwiegenden Gefahr für die öffentliche Sicherheit und Ordnung im Sinne von Art. 67 Abs. 3 zweiter Satz AuG vor (vgl. E.4.5). Das gegen ihn verhängte Einreiseverbot darf daher ohne Verletzung von Art. 67 Abs. 3 erster Satz AuG die Dauer von fünf Jahren übersteigen.</w:t>
      </w:r>
    </w:p>
    <w:p>
      <w:r>
        <w:rPr>
          <w:b/>
        </w:rPr>
        <w:t>E. 6</w:t>
      </w:r>
    </w:p>
    <w:p>
      <w:r>
        <w:t>Zu prüfen bleibt, wie es sich zum heutigen Zeitpunkt mit der Gefahr künftiger Störungen der öffentlichen Sicherheit und Ordnung verhält.</w:t>
      </w:r>
    </w:p>
    <w:p>
      <w:r>
        <w:rPr>
          <w:b/>
        </w:rPr>
        <w:t>E. 6.1</w:t>
      </w:r>
    </w:p>
    <w:p>
      <w:r>
        <w:t>Auf Beschwerdeebene wird bemängelt, das SEM habe bei der Festsetzung der Dauer der Fernhaltemassnahme die persönlichen Verhältnisse des Beschwerdeführers (seine beiden erwachsenen Kinder aus erster Ehe sowie seine fünfjährige Tochter aus zweiter Ehe lebten hierzulande) ausser Acht gelassen. Dem kann im Kontext der vorangehenden Ausführungen nicht beigepflichtet werden, zeugt doch das Verhalten des Beschwerdeführers vom offensichtlich fehlenden Willen, sich an die schweizerische Rechtsordnung zu halten; von einer Integration in die hiesigen Verhältnisse kann mit anderen Worten keine Rede sein. Auch die Beziehungen zu den ihm am nächsten stehenden Personen vermochten ihn nicht von der Delinquenz abzubringen. Zudem befand er sich damals nicht in einer finanziellen Notlage, sondern verfügte über ein regelmässiges Einkommen aus seinem Gärtnereibetrieb. Doch auch bei einem allfälligen finanziellen Engpass hätten ihm durchaus andere Möglichkeiten zur Geldbeschaffung offengestanden und er hätte ohne Weiteres die Zeit, die er für seine Kurierfahrten in verschiedene Teile der Schweiz aufgewendet hatte, auch für eine legale (Zweit-)anstellung aufbringen können. Erschwerend fällt zudem ins Gewicht, dass er auch nach der letzten Zahlung ans Betreibungsamt nochmals Heroinmengen im mehrfachen Kilobereich umsetzte (vgl. Strafurteil S. 14). Dementsprechend muss beim Beschwerdeführer von einer klar negativen Prognose ausgegangen werden. Die seit der Haftentlassung (April 2016) verstrichene Zeit ist - mit Blick auf die verletzten Rechtsgüter - zu kurz, als dass dies an der derzeitigen Risikoeinschätzung etwas zu ändern vermag. Hinzu kommt, dass der Beschwerdeführer noch bis 19. Dezember 2018 unter dem Druck der Probezeit steht, was ein korrektes Verhalten seinerseits nahelegt (vgl. etwa Urteil des BVGer F-7574/2015 vom 19. Januar 2017 E. 6.1 m.w.H.). Aufgrund dessen kann eine schwerwiegende Rückfallgefahr bis auf Weiteres nicht als gebannt betrachtet werden.</w:t>
      </w:r>
    </w:p>
    <w:p>
      <w:r>
        <w:rPr>
          <w:b/>
        </w:rPr>
        <w:t>E. 6.2</w:t>
      </w:r>
    </w:p>
    <w:p>
      <w:r>
        <w:t>Des Weiteren machte der Beschwerdeführer geltend, er sei im Rahmen von Art. 86 Abs. 1 StGB vorzeitig bedingt (aus dem Strafvollzug) entlassen worden. Da die zuständige Behörde offensichtlich der Ansicht gewesen sei, es bestehe eine gute Legalprognose. Dazu hat das Amt für Justizvollzug des Kantons Basel-Stadt in seinem Entscheid vom 30. März 2016 ausgeführt, unter Berücksichtigung, dass der Beschwerdeführer erstmals eine Freiheitsstrafe verbüsse und in der Annahme, er habe daraus die nötigen Lehren für ein inskünftig deliktfreies Leben gezogen, sei festzustellen, dass er eine zeitlich befristete Freiheitsstrafe verbüsst habe und keine Hinweise dafür vorliegen würden, dass bei einer vollständigen Verbüssung der Strafe das Rückfallrisiko geringer sei und sich an dessen Zustand während des restlichen Drittels im Vollzug noch allzu viel verändern werde (vgl. Entscheid S. 2). In diesem Zusammenhang ist hingegen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konstanter Praxis gemäss einen strengeren und über die strafrechtliche Bewährungsfrist hinausgehenden Massstab an (vgl. F-7574/2015 E. 6.2 m.w.H.). Dass die strafrechtliche Probezeit des Beschwerdeführers im Dezember 2018 ablaufen wird, bedeutet nicht, dass er danach kein Risiko mehr für die öffentliche Sicherheit und Ordnung mehr darstellen würde. Erschwerend fällt ins Gewicht, dass der Beschwerdeführer zwar einsieht, Fehler begangen zu haben, hingegen keine vertiefte Tataufarbeitung stattgefunden hat (vgl. Entscheid Strafentlassung S. 2) und der Beschwerdeführer auch auf Beschwerdeebene versucht, sein Motiv für seine Delinquenz zu verharmlosen. So will er schlussendlich aus Sorge um seine Kinder, welche er im Rahmen des Familiennachzuges in die Schweiz habe holen wollen, delinquiert haben. Der finanzielle Erlös sei zur Tilgung seiner Schulden gedacht gewesen, damit diese nicht den geplanten Familiennachzug hätten gefährden können. Auch betonte er sowohl in der Beschwerdeschrift als auch in der Replik, dass er sich fast 20 Jahre in der Schweiz wohlverhalten habe und dieser Umstand zu seinen Gunsten zu werten sei.</w:t>
      </w:r>
    </w:p>
    <w:p>
      <w:r>
        <w:rPr>
          <w:b/>
        </w:rPr>
        <w:t>E. 6.3</w:t>
      </w:r>
    </w:p>
    <w:p>
      <w:r>
        <w:t>Die vom Beschwerdeführer begangene Delinquenz zeichnete sich durch eine augenscheinliche Uneinsichtigkeit bzw. eine offenkundige Unbelehrbarkeit aus. So konnten ihn denn auch weder seine familiären Bindungen noch das Wissen, dass ihn bei einer allfälligen Aufdeckung seiner Straftaten eine empfindliche Strafe erwarten würde, vom Einstieg ins Drogengeschäft abhalten. Sein Verhalten zeugte vom offensichtlich fehlenden Willen, sich an die schweizerische Rechtsordnung zu halten. Das objektive Verschulden des Beschwerdeführers wurde als schwer beurteilt (in diesem Sinne auch das Strafgericht des Kantons Basel-Stadt (vgl. E. 5.1). Dementsprechend musste und muss beim Beschwerdeführer von einer klar negativen Prognose bzw. einem hohen Rückfallrisiko ausgegangen werden.</w:t>
      </w:r>
    </w:p>
    <w:p>
      <w:r>
        <w:rPr>
          <w:b/>
        </w:rPr>
        <w:t>E. 6.4</w:t>
      </w:r>
    </w:p>
    <w:p>
      <w:r>
        <w:t>Den Entscheid darüber, ob ein Einreiseverbot anzuordnen und wie es zeitlich zu bemessen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6.5</w:t>
      </w:r>
    </w:p>
    <w:p>
      <w:r>
        <w:t>Vom Beschwerdeführer geht, wie weiter oben ausgeführt wurde, eine schwerwiegende Gefahr für die öffentliche Sicherheit und Ordnung aus. Ausländische Straftäter, die - wie der Beschwerdeführer - hochwertige Rechtsgüter wie Leib und Leben sowie die körperliche und psychische Integrität von Menschen gefährden, sind nach Möglichkeit von der Schweiz fernzuhalten. Aufgrund der Häufigkeit solcher Straftaten gilt es auch,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Die teilweise Uneinsichtigkeit des Beschwerdeführers bezüglich seiner Taten zeigt eindrücklich, dass er nicht gewillt ist, sich an die geltende Rechtsordnung zu halten. Es besteht demnach ein gewichtiges öffentliches Interesse an einer langjährigen Fernhaltung. Dem langjährigen Voraufenthalt des Beschwerdeführers kommt im Zusammenhang mit der Fernhaltemassnahme keine besondere Bedeutung zu. Die langjährige Straflosigkeit entsprach jenem Verhalten, welches von jedem Ausländer ohne Weiteres erwartet werden darf. Durch seine schwere Straffälligkeit hat er jedoch selbst andere Prämissen gesetzt, für welche er alleine die Verantwortung trägt und deren Folgen er auf sich zu nehmen hat.</w:t>
      </w:r>
    </w:p>
    <w:p>
      <w:r>
        <w:rPr>
          <w:b/>
        </w:rPr>
        <w:t>E. 6.6</w:t>
      </w:r>
    </w:p>
    <w:p>
      <w:r>
        <w:t>Dem öffentlichen Interesse an seiner langjährigen Fernhaltung stellt der Beschwerdeführer sein privates Interesse an möglichst ungehinderten persönlichen Kontakten zu seinen in der Schweiz lebenden Kindern entgegen.</w:t>
      </w:r>
    </w:p>
    <w:p>
      <w:r>
        <w:rPr>
          <w:b/>
        </w:rPr>
        <w:t>E. 6.7</w:t>
      </w:r>
    </w:p>
    <w:p>
      <w:r>
        <w:t>In der Sache weist das Bundesverwaltungsgericht darauf hin, dass es im vorliegenden Verfahren nicht um ein Aufenthaltsrecht geht - ein solches wurde dem Beschwerdeführer rechtskräftig entzogen -, sondern um eine Fernhaltemassnahme. Die beanstandeten Beeinträchtigungen des Familien- und Privatlebens sind daher nur soweit rechtserheblich, als sie unmittelbar auf das Einreiseverbot zurückzuführen sind. Stellen sie sich dagegen als Folge des Verlustes eines auf Dauer angelegten Aufenthaltsrechts dar, können sie im Rahmen des vorliegenden Verfahrens nicht berücksichtigt werden. Die entscheidende Frage lautet, ob der Malus, den der Beschwerdeführer dadurch erfährt, dass er in seiner Eigenschaft als eine ausländische Person ohne Aufenthaltsrecht in der Schweiz mit einem Einreiseverbot belegt wird, vor Art. 8 Ziff. 1 EMRK und Art. 13 Abs. 1 BV standhält. Diese Erschwernis besteht nicht im Verunmöglichen von Einreisen zu bewilligungsfreien Kurzaufenthalten in der Schweiz zwecks Besuchs oder Ähnlichem, sondern in der Notwendigkeit, vor jeder solchen Einreise eine Suspension des Einreiseverbots einzuholen (Art. 67 Abs. 5 VwVG). Den Beteiligten bleibt dessen unbesehen die Möglichkeit erhalten, sich ausserhalb des Schengen-Raumes zu treffen und den Kontakt mittels moderner Kommunikationsmittel zu pflegen. Nur im dargestellten, erheblich relativierten Umfang beeinträchtigt das Einreiseverbot die Pflege der Beziehungen zu Personen in der Schweiz (vgl. dazu BVGE 2013/4 E. 7.4.1 bis 7.4.3 m.w.H.).</w:t>
      </w:r>
    </w:p>
    <w:p>
      <w:r>
        <w:rPr>
          <w:b/>
        </w:rPr>
        <w:t>E. 7</w:t>
      </w:r>
    </w:p>
    <w:p>
      <w:r>
        <w:t>Die Abwägung der vorliegenden öffentlichen und privaten Interessen führt das Bundesverwaltungsgericht somit zum Ergebnis, dass das auf zwölf Jahre befristete Einreiseverbot eine verhältnismässige und angemessene Massnahme zum Schutz der öffentlichen Sicherheit und Ordnung darstellt. Die Vorinstanz hat die Ausschlag gebenden Aspekte richtig ermittelt und gewichtet und somit rechtsfehlerfrei entschieden. Die angeordnete Dauer der Fernhaltemassnahme entspricht denn auch der gehandhabten Praxis in vergleichbaren Fällen.</w:t>
      </w:r>
    </w:p>
    <w:p>
      <w:r>
        <w:rPr>
          <w:b/>
        </w:rPr>
        <w:t>E. 8</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w:t>
      </w:r>
    </w:p>
    <w:p>
      <w:r>
        <w:rPr>
          <w:b/>
        </w:rPr>
        <w:t>E. 9</w:t>
      </w:r>
    </w:p>
    <w:p>
      <w:r>
        <w:t>Aus diesen Erwägungen folgt, dass die angefochtene Verfügung Bunderecht nicht verletzt (vgl. Art. 49 VwVG). Die Beschwerde ist daher abzuweisen.</w:t>
      </w:r>
    </w:p>
    <w:p>
      <w:r>
        <w:rPr>
          <w:b/>
        </w:rPr>
        <w:t>E. 10</w:t>
      </w:r>
    </w:p>
    <w:p>
      <w:r>
        <w:t>Entsprechend dem Ausgang des Verfahrens sind dem Beschwerdeführer die Kosten aufzuerlegen (Art. 63 Abs. 1 VwVG i.V.m.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