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F-2918/2016 vom 17. Januar 2017</w:t>
      </w:r>
    </w:p>
    <w:p>
      <w:r>
        <w:t>Bundesverwaltungsgericht, 2017-01-17, FR</w:t>
      </w:r>
    </w:p>
    <w:p>
      <w:r>
        <w:rPr>
          <w:b/>
        </w:rPr>
        <w:t xml:space="preserve">Quelle: </w:t>
      </w:r>
      <w:r>
        <w:t>https://mcp.opencaselaw.ch/entscheid/bvger_F-2918_2016</w:t>
      </w:r>
    </w:p>
    <w:p>
      <w:r>
        <w:t>FR: TAF F-2918/2016 du 17 janvier 2017</w:t>
      </w:r>
    </w:p>
    <w:p>
      <w:r>
        <w:t>IT: TAF F-2918/2016 del 17 gennaio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références citées).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3.4</w:t>
      </w:r>
    </w:p>
    <w:p>
      <w:r>
        <w:t>Il est exceptionnellement admis que la communauté conjugale subsiste au sens des art. 27 et 28 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II 49 consid. 2b) et l'arrêt du Tribunal administratif fédéral C-273/2015 du 31 août 2015 consid. 6.3 et les références citées, voir également notamment SAMAH OUSMANE, in : Amarelle et al., Code annoté de droit des migrations, Vol. V : Loi sur la nationalité, 2014, n° 19s ad. art. 27 LN p. 108).</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10 décembre 2013 a été annulée par l'autorité inférieure en date du 8 avril 2016,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par courriel du 13 août 2015.</w:t>
      </w:r>
    </w:p>
    <w:p>
      <w:r>
        <w:rPr>
          <w:b/>
        </w:rPr>
        <w:t>E. 6</w:t>
      </w:r>
    </w:p>
    <w:p>
      <w:r>
        <w:t>A l'appui de son pourvoi, le recourant a en particulier mis en avant que malgré l'existence de domiciles séparés, il continuait à former une communauté conjugale effective et stable avec son épouse.</w:t>
      </w:r>
    </w:p>
    <w:p>
      <w:r>
        <w:rPr>
          <w:b/>
        </w:rPr>
        <w:t>E. 6.1</w:t>
      </w:r>
    </w:p>
    <w:p>
      <w:r>
        <w:t>Certes, comme relevé plus haut (cf. consid. 3.4 supra et les références citées), selon la jurisprudence du Tribunal fédéral, il peut exceptionnellement être admis que la communauté conjugale subsiste au sens des art. 27 et 28 LN, bien que les époux aient cessé d'avoir un domicile unique, pour autant que la création de domiciles séparés repose sur des circonstances extraordinaires survenues indépendamment de la volonté du couple et que la stabilité du mariage ne soit pas mise en cause. Or, le Tribunal considère que tel n'est pas le cas en l'espèce, puisqu'il ne s'agit pas d'une séparation sans incidence sur l'intensité des liens entre les époux et leur volonté de maintenir leur union conjugale.</w:t>
      </w:r>
    </w:p>
    <w:p>
      <w:r>
        <w:rPr>
          <w:b/>
        </w:rPr>
        <w:t>E. 6.2</w:t>
      </w:r>
    </w:p>
    <w:p>
      <w:r>
        <w:t>A ce sujet, le Tribunal observe en premier lieu que ce n'est que dans le cadre de la présente procédure de recours que A._______ a allégué qu'il continuait à former une union conjugale effective et stable avec son épouse malgré l'existence de domicile séparés, alors que dans le cadre de la procédure devant l'autorité intimée, l'intéressé n'a jamais contesté que les époux étaient effectivement séparés. Durant la procédure devant le SEM, l'intéressé et son épouse ont certes affirmé qu'ils continuaient à entretenir des contacts réguliers, ils n'ont toutefois jamais allégué qu'ils avaient maintenu une véritable communauté conjugale (à ce propos, cf. notamment le courrier du recourant du 15 septembre 2015, l'audition de C._______ du 12 janvier 2016 et les observations du recourant du 18 février 2016).</w:t>
      </w:r>
    </w:p>
    <w:p>
      <w:r>
        <w:rPr>
          <w:b/>
        </w:rPr>
        <w:t>E. 6.3</w:t>
      </w:r>
    </w:p>
    <w:p>
      <w:r>
        <w:t>Aussi, au vu des pièces figurant au dossier, le Tribunal ne saurait admettre que les époux A._______ et C._______ continuent à former, à l'heure actuelle, une communauté conjugale effective et stable au sens de la jurisprudence applicable en la matière. A ce sujet, il sied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Malgré l'évolution des moeurs et des mentalités, seule cette conception du mariage est susceptible de justifier - aux conditions prévues aux art. 27 et 28 LN - l'octroi de la naturalisation facilitée au conjoint étranger d'un ressortissant helvétique (cf. consid. 3.3 supra et les références citées). En l'occurrence, il apparaît certes que les intéressés ont maintenu des contacts réguliers (cf. notamment les relevés de communication de l'abonnement de téléphone de l'intéressé versés au dossier par pli du 5 août 2016), ainsi que diverses activités communes. Le recourant a ainsi notamment soutenu les activités politiques de son épouse (cf. les observations du 15 septembre 2015 p. 2 in fine), les conjoints font du jardinage ensemble (cf. le procès-verbal de l'audition de C._______ du 12 janvier 2016 p. 4 pt. 7) et partagent des repas, ainsi que d'autres loisirs (cf. les lettres de soutien du 11 juillet 2016). Cependant, au regard de l'existence d'une séparation judiciaire de durée indéterminée (cf. la convention signée le 11 juin 2015 et le procès-verbal de l'audience devant le Tribunal régional de Y._______ du 14 septembre 2015) et de domiciles séparés (depuis près d'un an et demi), le fait d'avoir gardé « un lien affectif profond », de continuer « à avoir des contacts » (cf. le procès-verbal susmentionné p. 5 pts et 11 et 13), de partager des loisirs communs (cf. notamment les lettre de soutien du 11 juillet 2016) ou d'être dans « une relation respectueuse » (cf. le courrier de C._______ du 9 mai 2016) ne saurait suffire pour permettre au Tribunal de retenir que la communauté conjugale des époux A._______ et C._______ subsiste. Le Tribunal estime en effet que l'intensité de la relation qui lie les époux A._______ et C._______ ne saurait être assimilée au lien qui existe entre deux époux qui forment une communauté conjugale effective et stable au sens de la jurisprudence mentionnée ci-avant.</w:t>
      </w:r>
    </w:p>
    <w:p>
      <w:r>
        <w:rPr>
          <w:b/>
        </w:rPr>
        <w:t>E. 6.4</w:t>
      </w:r>
    </w:p>
    <w:p>
      <w:r>
        <w:t>Sur un autre plan, il importe de noter que lorsque C._______ a été interrogée, par le Service de la cohésion multiculturelle de Neuchâtel le 12 janvier 2016, sur la question de savoir si à l'heure actuelle, elle envisageait de reprendre la vie commune avec son époux, elle a répondu ce qui suit : « C'est une question à laquelle je ne peux pas répondre. Notre but est qu'il puisse trouver du travail et avoir une situation professionnelle stable. S'il devient autonome financièrement, qu'il trouve un travail fixe et stable, nous pourrons discuter de la reprise de la vie commune. » Dans ces conditions, et compte tenu en particulier du fait que par ses déclarations, la prénommée a laissé entendre qu'il n'était pas sûr que les époux reprennent la vie commune aussitôt que l'intéressé aura de meilleures perspectives professionnelles, le Tribunal ne saurait admettre que la séparation des époux A._______ et C._______ est de nature purement temporaire, sans que la stabilité du mariage soit mise en cause.</w:t>
      </w:r>
    </w:p>
    <w:p>
      <w:r>
        <w:rPr>
          <w:b/>
        </w:rPr>
        <w:t>E. 6.5</w:t>
      </w:r>
    </w:p>
    <w:p>
      <w:r>
        <w:t>Par surabondance, dans le cas particulier, on pourrait également se poser la question de savoir si les motifs ayant conduit à la séparation des époux A._______ et C._______, soit leur volonté de permettre à l'intéressé de pouvoir bénéficier des mesures d'insertion professionnelle, sont susceptibles de constituer des circonstances extraordinaires survenues indépendamment de la volonté du couple au sens de la jurisprudence du Tribunal fédéral (cf. consid. 3.4 supra et les références citées). Cela d'autant plus que les époux, qui ne peuvent en principe se prévaloir de leur union que s'ils forment une communauté de vie étroite et durable et sont prêts à s'assurer mutuellement fidélité et assistance (cf. consid. 3.3 supra), ont pris la décision de se séparer seulement deux mois après que le recourant ne soit arrivé en fin de droit aux prestations de l'assurance chômage (à ce sujet, cf. également le consid. 8.3 ci-après). Cela étant, dans la mesure où la deuxième condition posée par la jurisprudence pour admettre que la communauté conjugale subsiste malgré l'existence de domiciles séparés, à savoir l'exigence que la stabilité du mariage ne soit pas mise en cause, n'est pas réalisée en l'espèce (cf. consid. 6.2 à 6.4 ci-avant), le Tribunal estime que cette question peut demeurer indécise dans le cas particulier.</w:t>
      </w:r>
    </w:p>
    <w:p>
      <w:r>
        <w:rPr>
          <w:b/>
        </w:rPr>
        <w:t>E. 6.6</w:t>
      </w:r>
    </w:p>
    <w:p>
      <w:r>
        <w:t>En conclusion, la relation vécue par les époux A._______ et C._______ ne remplit pas les conditions posées à l'admission d'une exception à l'exigence du ménage commun et il y a lieu de retenir qu'au plus tard depuis leur séparation de fait intervenue en juin 2015, les intéressés ne forment plus une communauté conjugale effective et stable au sens de l'art. 27 LN et de la jurisprudence y relative.</w:t>
      </w:r>
    </w:p>
    <w:p>
      <w:r>
        <w:rPr>
          <w:b/>
        </w:rPr>
        <w:t>E. 7</w:t>
      </w:r>
    </w:p>
    <w:p>
      <w:r>
        <w:t>A ce stade, il convient dès lors d'examiner si c'est à bon droit que le SEM a retenu que l'enchaînement chronologique rapide des faits entre la signature de la déclaration de vie commune, l'octroi de la naturalisation facilitée et la séparation des conjoints permettait de fonder la présomption selon laquelle la communauté conjugale des intéressés n'était plus stable et orientée vers l'avenir au moment de la naturalisation facilitée de A._______.</w:t>
      </w:r>
    </w:p>
    <w:p>
      <w:r>
        <w:rPr>
          <w:b/>
        </w:rPr>
        <w:t>E. 7.1</w:t>
      </w:r>
    </w:p>
    <w:p>
      <w:r>
        <w:t>A ce propos, le Tribunal relève que les époux A._______ et C._______ ont contracté mariage le 10 juillet 2009 à Z._______. Le 19 juillet 2012, A._______ a déposé une demande de naturalisation facilitée et en date du 4 décembre 2013, les conjoints ont signé une déclaration selon laquelle ils vivaient en communauté conjugale effective et stable. Par décision du 10 décembre 2013, le SEM a accordé la naturalisation facilitée à l'intéressé. Le 19 juin 2015, les époux A._______ et C._______ ont cessé de faire ménage commun et le 14 septembre 2015, le Tribunal régional de Y._______ a homologué la convention de mesures protectrices de l'union conjugale signée par les intéressés en date du 11 juin 2015.</w:t>
      </w:r>
    </w:p>
    <w:p>
      <w:r>
        <w:rPr>
          <w:b/>
        </w:rPr>
        <w:t>E. 7.2</w:t>
      </w:r>
    </w:p>
    <w:p>
      <w:r>
        <w:t>Le Tribunal de céans estime que ces éléments, et en particulier le court laps de temps séparant la déclaration de vie commune (le 4 décembre 2013), l'octroi de la naturalisation facilitée (le 10 décembre 2013), la signature d'une convention de mesures protectrices de l'union conjugale (le 11 juin 2015) et la séparation de fait des époux (le 19 juin 2015) sont de nature à fonder la présomption de fait selon laquelle, au moment de la décision de naturalisation, la communauté conjugale des époux A._______ et C._______ n'était plus stable et orientée vers l'avenir au sens de l'art. 27 LN et de la jurisprudence y relative.</w:t>
      </w:r>
    </w:p>
    <w:p>
      <w:r>
        <w:rPr>
          <w:b/>
        </w:rPr>
        <w:t>E. 7.3</w:t>
      </w:r>
    </w:p>
    <w:p>
      <w:r>
        <w:t>Cette présomption est en outre renforcée par d'autres éléments du dossier. A ce sujet, le Tribunal relève notamment les conditions de séjour précaires du recourant lors de son mariage avec C._______. Par décision du 8 septembre 2008, l'autorité cantonale compétente avait en effet refusé de renouveler l'autorisation de séjour de l'intéressé suite à sa séparation d'avec B._______ et le recours que l'intéressé avait formé contre cette décision était toujours pendant devant l'autorité compétente lorsque A._______ a conclu mariage avec C._______ le 10 juillet 2009. Il ne saurait dès lors être exclu que le souhait du recourant de pouvoir s'installer à demeure dans ce pays ait pu l'influencer lorsqu'il a décidé d'épouser une personne au bénéfice de la citoyenneté helvétique, de vingt-six ans son aînée.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(cf. à titre d'exemple, l'ATF 130 II 482 consid. 3.1). Enfin, c'est à bon droit que l'autorité intimée a relevé la célérité avec laquelle A._______ a déposé sa demande de naturalisation facilitée le 19 juillet 2012, à savoir quelques jours seulement après l'échéance du délai relatif à la durée du mariage (cf. art. 27 al. 1 let. c LN). Un tel empressement suggère en effet que le recourant avait hâte d'obtenir la nationalité suisse, rendue possible par son mariage avec une citoyenne de ce pays (dans le même sens, cf. l'arrêt du Tribunal administratif fédéral C-7327/2015 du 13 mai 2016 consid. 6.3 et la référence citée).</w:t>
      </w:r>
    </w:p>
    <w:p>
      <w:r>
        <w:rPr>
          <w:b/>
        </w:rPr>
        <w:t>E. 8</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4.4 ci-avant et la jurisprudence citée).</w:t>
      </w:r>
    </w:p>
    <w:p>
      <w:r>
        <w:rPr>
          <w:b/>
        </w:rPr>
        <w:t>E. 8.1</w:t>
      </w:r>
    </w:p>
    <w:p>
      <w:r>
        <w:t>A ce propos, le recourant a essentiellement fait valoir que les époux s'étaient vu contraints de se séparer compte tenu de sa situation professionnelle et financière précaire, puisque tant qu'il continuait à faire ménage commun avec son épouse, il ne pouvait pas bénéficier de mesures d'insertion professionnelle et n'était ainsi pas à même de tout mettre en oeuvre pour se créer une situation professionnelle stable.</w:t>
      </w:r>
    </w:p>
    <w:p>
      <w:r>
        <w:rPr>
          <w:b/>
        </w:rPr>
        <w:t>E. 8.2</w:t>
      </w:r>
    </w:p>
    <w:p>
      <w:r>
        <w:t>Compte tenu de la conception du mariage que le législateur avait en vue lorsqu'il a créé l'institution de la naturalisation facilitée (cf. consid. 3.3 supra), le Tribunal estime qu'on ne saurait reprocher à l'autorité intimée d'avoir considéré que dans une communauté conjugale effective, stable et orientée vers l'avenir au sens de la jurisprudence applicable en la matière, les motifs invoqués par le recourant ne devraient en principe pas conduire à la désunion d'un couple uni depuis des années.</w:t>
      </w:r>
    </w:p>
    <w:p>
      <w:r>
        <w:rPr>
          <w:b/>
        </w:rPr>
        <w:t>E. 8.3</w:t>
      </w:r>
    </w:p>
    <w:p>
      <w:r>
        <w:t>A cela s'ajoute que si le soutien financier que C._______ a apporté à son mari était certes considérable (cf. le procès-verbal de son audition du 12 janvier 2016 p. 3 pt. 3.3), aucun élément du dossier ne permet cependant d'inférer qu'il aurait mis la prénommée dans une situation financière précaire. Compte tenu de ces éléments, le Tribunal estime que la rapidité avec laquelle les époux ont pris la décision de se séparer, à savoir deux mois seulement après que l'intéressé ne soit arrivé en fin de droit aux prestations de l'assurance chômage (cf. le courrier du Guichet social régional de la commune de X._______ du 29 janvier 2016) paraît du moins surprenante.</w:t>
      </w:r>
    </w:p>
    <w:p>
      <w:r>
        <w:rPr>
          <w:b/>
        </w:rPr>
        <w:t>E. 8.4</w:t>
      </w:r>
    </w:p>
    <w:p>
      <w:r>
        <w:t>Enfin, il sied également de noter que la situation professionnelle du recourant était instable depuis des années (l'intéressé ayant notamment déjà connu une période de chômage d'une durée de dix-huit mois dès 2011 ; cf. le procès-verbal susmentionné p. 3 pt. 3.4, voir également p. 2 pt. 1.9) et il n'apparaît pas que cette situation ait créé des différends conjugaux ou des tensions considérables au sein du couple avant la séparation intervenue en mai 2015 (cf. notamment le procès-verbal susmentionné p. 2 pts 2.1 et 2.2).</w:t>
      </w:r>
    </w:p>
    <w:p>
      <w:r>
        <w:rPr>
          <w:b/>
        </w:rPr>
        <w:t>E. 8.5</w:t>
      </w:r>
    </w:p>
    <w:p>
      <w:r>
        <w:t>Eu égard aux considérations qui précèdent, il y a lieu de retenir que les éléments avancés par le recourant ne sauraient suffire, à eux seuls, pour expliquer une dégradation aussi rapide du lien conjugal.</w:t>
      </w:r>
    </w:p>
    <w:p>
      <w:r>
        <w:rPr>
          <w:b/>
        </w:rPr>
        <w:t>E. 8.6</w:t>
      </w:r>
    </w:p>
    <w:p>
      <w:r>
        <w:t>Par surabondance, même dans l'hypothèse où on admettait que la situation financière du couple justifiait une séparation officielle afin de permettre au recourant d'avoir accès aux prestations de l'aide sociale et en particulier aux mesures d'intégration professionnelle, le Tribunal considère que ces circonstances ne sont pas susceptibles d'expliquer que les époux n'aient pas maintenu des liens plus étroits, soit d'une intensité permettant de retenir que la communauté conjugale a subsisté malgré l'existence de domiciles séparés. Elles ne sauraient pas non plus expliquer pour quels motifs C._______ a affirmé, lors de son audition du 12 janvier 2016, qu'elle ne pouvait pas répondre à la question de savoir si une reprise de la vie commune était envisagée et que les époux en discuteraient une fois que l'intéressé aura trouvé un emploi (cf. consid. 6.4 supra).</w:t>
      </w:r>
    </w:p>
    <w:p>
      <w:r>
        <w:rPr>
          <w:b/>
        </w:rPr>
        <w:t>E. 8.7</w:t>
      </w:r>
    </w:p>
    <w:p>
      <w:r>
        <w:t>Ainsi, à défaut d'éléments convaincants apportés par le recourant, le Tribunal est d'avis qu'il y a lieu de s'en tenir à la présomption de fait, fondée sur l'enchaînement chronologique rapide des événements, selon laquelle l'union formée par les époux A._______ et C._______ ne présentait plus l'intensité et la stabilité requises au moment de la décision de naturalisation facilitée.</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C-4883/2015 du 15 décembre 2015 consid. 12 et la référence citée). Or, les arguments avancés par le recourant pour contester la décision de l'instance inférieure du 8 avril 2016 ne sont pas susceptibles de justifier une telle exception.</w:t>
      </w:r>
    </w:p>
    <w:p>
      <w:r>
        <w:rPr>
          <w:b/>
        </w:rPr>
        <w:t>E. 10</w:t>
      </w:r>
    </w:p>
    <w:p>
      <w:r>
        <w:t>En vertu de l'art. 41 al. 3 LN, sauf décision expresse, l'annulation fait également perdre la nationalité suisse aux membres de la famille qui l'ont acquise en vertu de la décision annulée. En l'espèce, il ne ressort pas du dossier que le recourant aurait eu un enfant depuis l'obtention de sa naturalisation facilitée et l'intéressé n'a par ailleurs fait valoir aucun grief spécifique s'agissant de ce point du dispositif.</w:t>
      </w:r>
    </w:p>
    <w:p>
      <w:r>
        <w:rPr>
          <w:b/>
        </w:rPr>
        <w:t>E. 11</w:t>
      </w:r>
    </w:p>
    <w:p>
      <w:r>
        <w:t>Il ressort de ce qui précède que, par sa décision du 8 avril 2016, l'autorité intimée n'a ni violé le droit fédéral, ni constaté des faits pertinents de manière inexacte ou incomplète ; en outre, cette décision n'est pas inopportune (art. 49 PA). En conséquence, le recours est rejeté.</w:t>
      </w:r>
    </w:p>
    <w:p>
      <w:r>
        <w:rPr>
          <w:b/>
        </w:rPr>
        <w:t>E. 12</w:t>
      </w:r>
    </w:p>
    <w:p>
      <w:r>
        <w:t>Par décision incidente du 2 juin 2016, le Tribunal a mis le recourant au bénéfice de l'assistance judiciaire totale, l'a dispensé du paiement des frais de procédure et désigné son mandataire en qualité d'avocat d'office pour la présente procédure de recours. Partant, il n'est pas perçu de frais de procédure. En outre, il convient d'accorder une indemnité à titre d'honoraires au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le Tribunal estime, au regard des art. 8ss FI-TAF, que le versement d'une indemnité à titre d'honoraires s'élevant à Fr. 1'500.- (TVA comprise) apparaît comme équitable en la présente cause. Le Tribunal ne saurait en effet se baser exclusivement sur le rapport d'affaire versé au dossier par pli du 5 août 2016 pour fixer les honoraires, compte tenu en particulier du fait que le temps pris en considération pour les contacts avec le client, la rédaction des écritures, ainsi que pour les recherches juridiques y relatives apparaît disproportionné. A ce sujet, le Tribunal relève en particulier la brièveté du mémoire de recours du 10 mai 2016, la reprise des faits exposés dans le mémoire de recours dans le cadre des observations du 5 août 2016 et l'absence de complexité de l'argumentation juridique développée dans les écritures déposées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