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F-2917/2016 vom 22. September 2016</w:t>
      </w:r>
    </w:p>
    <w:p>
      <w:r>
        <w:t>Bundesverwaltungsgericht, 2016-09-22, DE</w:t>
      </w:r>
    </w:p>
    <w:p>
      <w:r>
        <w:rPr>
          <w:b/>
        </w:rPr>
        <w:t xml:space="preserve">Quelle: </w:t>
      </w:r>
      <w:r>
        <w:t>https://mcp.opencaselaw.ch/entscheid/bvger_F-2917_2016</w:t>
      </w:r>
    </w:p>
    <w:p>
      <w:r>
        <w:t>FR: TAF F-2917/2016 du 22 septembre 2016</w:t>
      </w:r>
    </w:p>
    <w:p>
      <w:r>
        <w:t>IT: TAF F-2917/2016 del 22 settembre 2016</w:t>
      </w:r>
    </w:p>
    <w:p>
      <w:pPr>
        <w:pStyle w:val="Heading2"/>
      </w:pPr>
      <w:r>
        <w:t>Regeste</w:t>
      </w:r>
    </w:p>
    <w:p>
      <w:r>
        <w:t>Schengen-Visum</w:t>
      </w:r>
    </w:p>
    <w:p>
      <w:pPr>
        <w:pStyle w:val="Heading2"/>
      </w:pPr>
      <w:r>
        <w:t>Erwägungen</w:t>
      </w:r>
    </w:p>
    <w:p>
      <w:r>
        <w:rPr>
          <w:b/>
        </w:rPr>
        <w:t>E. 1.1</w:t>
      </w:r>
    </w:p>
    <w:p>
      <w:r>
        <w:t>Verfügungen des SEM betreffend Schengen-Visa sind beim Bundesverwaltungsgericht anfechtbar (Art. 31 ff. VGG i.V.m. Art. 5 VwVG). Das Rechtsmittelverfahren richtet sich nach dem VwVG, soweit das VGG nichts anderes bestimmt (Art. 37 VGG).</w:t>
      </w:r>
    </w:p>
    <w:p>
      <w:r>
        <w:rPr>
          <w:b/>
        </w:rPr>
        <w:t>E. 1.2</w:t>
      </w:r>
    </w:p>
    <w:p>
      <w:r>
        <w:t>Der Beschwerdeführer ist zur Beschwerde legitimiert (Art. 48 Abs. 1 VwVG). Auf die im Übrigen frist- und formgerecht eingereichte Beschwerde ist einzutreten (vgl. Art. 50 und 52 VwVG).</w:t>
      </w:r>
    </w:p>
    <w:p>
      <w:r>
        <w:rPr>
          <w:b/>
        </w:rPr>
        <w:t>E. 1.3</w:t>
      </w:r>
    </w:p>
    <w:p>
      <w:r>
        <w:t>In der vorliegenden 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w:t>
      </w:r>
    </w:p>
    <w:p>
      <w:r>
        <w:t>Der angefochtenen Verfügung liegt das Gesuch einer philippinischen Staatsangehörigen um Erteilung eines Visums für einen knapp zweimonatigen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Rechtakte übernommen hat. Das Ausländergesetz (AuG, SR 142.20) und seine Ausführungsbestimmungen gelangen nur soweit zur Anwendung, als die Schengen-Assoziierungsabkommen keine abweichenden Bestimmungen enthalten (vgl. Art. 2 Abs. 2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 a.M. Philipp Egli / Tobias D. Meyer, in: Caroni / Gächter / Thurnherr [Hrsg.], Stämpflis Handkommentar zum Bundesgesetz über die Ausländerinnen und Ausländer, Bern 2010, Art. 5 N. 3 f.).</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Fassung gemäss Änderung vom 4. Mai 2016, AS 2016 1283] i.V.m. Art. 6 Abs. 1 und 2 der Verordnung [EU] Nr. 2016/399 des Europäischen Parlaments und des Rates vom 9. März 2016 über einen Gemeinschaftskodex für das Überschreiten der Grenzen durch Personen [nachfolgend: Schengener Grenzkodex, SGK, ABl. L 77 vom 23.03.2016; kodifizierter Text], Art. 4 Abs. 1 VEV).</w:t>
      </w:r>
    </w:p>
    <w:p>
      <w:r>
        <w:rPr>
          <w:b/>
        </w:rPr>
        <w:t>E. 4.3</w:t>
      </w:r>
    </w:p>
    <w:p>
      <w:r>
        <w:t>Im Weiteren müssen Drittstaatsangehörige den Zweck und die Um­stände ihres beabsichtigten Aufenthalts belegen und hierfür über ausrei­chende finanzielle Mittel verfügen (Art. 5 Abs. 1 Bst. b AuG, Art. 2 Abs. 1 VEV, Art. 6 Abs. 1 Bst. c und Abs. 4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4.4</w:t>
      </w:r>
    </w:p>
    <w:p>
      <w:r>
        <w:t>Eine Gefahr für die öffentliche Ordnung im Sinne von Art. 6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für eine gesicherte Wiederausreise, wie sie Art. 5 Abs. 2 AuG verlangt, wenn nur ein vorübergehender Aufenthalt vorgesehen ist, steht mit dieser Regelung im Einklang (vgl. BVGE 2009/27 E. 5 mit Hervor­hebung des Zusammenhangs zum Einreiseerfordernis des belegten Aufenthaltszwecks nach Art. 6 Abs. 1 Bst. c SGK).</w:t>
      </w:r>
    </w:p>
    <w:p>
      <w:r>
        <w:rPr>
          <w:b/>
        </w:rPr>
        <w:t>E. 4.5</w:t>
      </w:r>
    </w:p>
    <w:p>
      <w:r>
        <w:t>Sind die vorerwähnten Einreisevoraussetzungen (Visum ausgenom­men) nicht erfüllt, darf ein für den gesamten Schengen-Raum geltendes "einheitliches Visum" (Art. 2 Ziff. 3 Visakodex) nicht erteilt werden (Art. 12 VEV, Art. 36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6 Abs. 5 Bst. c SGK).</w:t>
      </w:r>
    </w:p>
    <w:p>
      <w:r>
        <w:rPr>
          <w:b/>
        </w:rPr>
        <w:t>E. 5.1</w:t>
      </w:r>
    </w:p>
    <w:p>
      <w:r>
        <w:t>Aufgrund ihrer Staatszugehörigkeit unterliegt die Gesuchstellerin der Visumspflicht (vgl. Anhang I zur Verordnung [EG] Nr. 539/2001 [ABl. L 81 vom 21.03.2001; zum vollständigen Quellennachweis vgl. Fussnote zu Art. 4 Abs. 1 VEV]). Bei der Prüfung der Einreisevoraussetzungen nach Art. 6 Abs. 1 SGK ist die Frage der gesicherten Wiederausreise zentral. Eine solche erachtet die Vorinstanz aufgrund der allgemeinen Situation im Heimatland und der persönlichen Verhältnisse der Gesuchstellerin als nicht genügend gewährleistet. Zur Einschätzung entsprechender Risiken sind sämtliche Umstände des konkreten Einzelfalles zu würdigen.</w:t>
      </w:r>
    </w:p>
    <w:p>
      <w:r>
        <w:rPr>
          <w:b/>
        </w:rPr>
        <w:t>E. 5.2</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5.3</w:t>
      </w:r>
    </w:p>
    <w:p>
      <w:r>
        <w:t>In den Philippinen sind breite Bevölkerungsschichten von vergleichs­weise kargen wirtschaftlichen und sozialen Lebensbedingungen betroffen. Obwohl das Land in den letzten Jahren stabile wirtschaftliche Wachstumsraten von durchschnittlich 6% verzeichnete, bleibt die Armut ein ungelöstes Problem. Nach Angaben der Weltbank stagniert sie bei rund 25% der Bevölkerung, und dies gegen den Trend der Südostasien-Region, in der die Armut allgemein rückläufig ist. Ein wesentlicher Grund dafür ist das hohe Bevölkerungswachstum von ca. 2% (etwa 2 Mio. pro Jahr). Die markante Bevölkerungszunahme dürfte auch Grund dafür sein, dass Arbeitslosigkeit und Unterbeschäftigung trotz Wirtschaftswachstum drängende Probleme darstellen. Die Arbeitslosenrate lag zwar nach offiziellen Angaben in den letzten Jahren recht stabil bei 7%. Dem steht allerdings ein starker Anstieg der Unterbeschäftigten (ca. 23%) gegenüber. Jedes Jahr verlassen deshalb mehr als eine Million Menschen das Land, um im Ausland Arbeit zu suchen, wobei die Tendenz zunehmend ist. Die Entsendung von Gastarbeitern ins Ausland hilft den heimischen Arbeitsmarkt zu entlasten, und sie dient darüber hinaus der Erwirtschaftung von Devisen und der Ankurbelung des Inlandkonsums (Quelle: Deutsches Auswärtiges Amt: www.auswaertiges-amt.de &gt; Aussen- und Europapolitik &gt; Länderinformationen &gt; Philippinen &gt; Wirtschaft, Stand: September 2015, besucht im August 2016).</w:t>
      </w:r>
    </w:p>
    <w:p>
      <w:r>
        <w:rPr>
          <w:b/>
        </w:rPr>
        <w:t>E. 5.4</w:t>
      </w:r>
    </w:p>
    <w:p>
      <w:r>
        <w:t>Vor allem bei der jüngeren Bevölkerung ist ein starker Trend zur Emigration festzustellen. Dabei gelten auch Europa und hier nicht zuletzt die Schweiz als Zieldestination vieler Auswanderer und Auswanderinnen im erwerbsfähigen Alter, welche sich auf diese Weise ihre eigene Existenz und oft auch diejenige zurückbleibender naher Angehöriger sichern möchten. Die Tendenz zur Auswanderung wird erfahrungsgemäss dort noch begünstigt, wo bereits ein soziales Beziehungsnetz (Verwandte, Freunde) im Ausland besteht. Im Falle der Schweiz führt dies angesichts der restriktiven Zulassungsregelung nicht selten zur Umgehung ausländerrechtlicher Be­stimmungen, indem - einmal eingereist - versucht wird, neue Fakten zu schaffen und die Anwesenheit auf eine ganz andere, dauerhafte Grundlage überzuführen.</w:t>
      </w:r>
    </w:p>
    <w:p>
      <w:r>
        <w:rPr>
          <w:b/>
        </w:rPr>
        <w:t>E. 5.5</w:t>
      </w:r>
    </w:p>
    <w:p>
      <w:r>
        <w:t>In Anbetracht dieser Umstände ist nicht zu beanstanden, wenn die Vorinstanz das Risiko einer nicht fristgerechten Wiederausreise mit Bezug auf gesuchstellende Personen aus den Philippinen allgemein als erheblich einschätzt. Allerdings sind bei der Risikoanalyse neben allgemeinen Umständen und Erfahrungen auch sämtliche Gesichtspunkte des konkreten Einzelfalls zu berücksichtigen. In beweisrechtlicher Hinsicht ist festzuhalten, dass ein Visum nur erteilt werden darf, wenn keine begründeten Zweifel an der Absicht der gesuchstellenden Person bestehen, den Schengen-Raum vor Ablauf des Visums wieder zu verlassen (vgl. BVGE 2014/1 E. 4.4 und E. 6.3.1 je m.H.).</w:t>
      </w:r>
    </w:p>
    <w:p>
      <w:r>
        <w:rPr>
          <w:b/>
        </w:rPr>
        <w:t>E. 6.1</w:t>
      </w:r>
    </w:p>
    <w:p>
      <w:r>
        <w:t>Bei der Gesuchstellerin handelt es sich um eine 29-jährige unverheiratete Frau und alleinerziehende Mutter einer dreijährigen Tochter. Sie lebt bei ihrer Schwester und wird von dieser und seit fünf Jahren vom Beschwerdeführer finanziell unterstützt (SEM pag. 13 und 16). In diesen Verhältnissen ist sicherlich eine gewisse soziale Einbindung in ein familiäres Gefüge zu erblicken. Allerdings ist nicht von einem eigentlichen Abhängigkeitsverhältnis unter Verwandten auszugehen, wenn man vom Verhältnis zum eigenen Kind absieht. Was letzteres anbelangt, so verwies die Vorinstanz grundsätzlich zu Recht auf den Umstand, dass in Verhältnissen wie den vorliegenden die Existenz eigener Kinder - zumindest solange sie gut betreut sind und intakte Aussichten auf einen späteren Nachzug bestehen - in aller Regel nicht von einem Entschluss zur Emigration abhalten kann.</w:t>
      </w:r>
    </w:p>
    <w:p>
      <w:r>
        <w:rPr>
          <w:b/>
        </w:rPr>
        <w:t>E. 6.2</w:t>
      </w:r>
    </w:p>
    <w:p>
      <w:r>
        <w:t>Die Gesuchstellerin und ihre Tochter leben seit fünf Jahren offenbar von finanziellen Zuwendungen des Beschwerdeführers (SEM pag. 16). Es ist mit anderen Worten in wirtschaftlicher Hinsicht von einem erheblichen einseitigen Abhängigkeitsverhältnis auszugehen. Angesichts der grossen kulturellen Unterschiede und eines erheblichen Altersunterschieds von 36 Jahren lässt sich nicht abschätzen, wie sich das Verhältnis zwischen den beiden während des geplanten langen Besuchsaufenthalts entwickeln könnte.</w:t>
      </w:r>
    </w:p>
    <w:p>
      <w:r>
        <w:rPr>
          <w:b/>
        </w:rPr>
        <w:t>E. 6.3</w:t>
      </w:r>
    </w:p>
    <w:p>
      <w:r>
        <w:t>An den guten Absichten und der Integrität des Beschwerdeführers ist sicherlich nicht zu zweifeln. Er kann in seiner Eigenschaft als Gastgeber für gewisse finanzielle Risiken (Lebenshaltungskosten während des Besuchsaufenthalts, allfällige von einer Versicherung nicht gedeckte Kosten für Unfall und Krankheit sowie Repatriierung) Garantie leisten, nicht aber - mangels rechtlicher und faktischer Durchsetzbarkeit - für ein bestimmtes Verhalten seines Gastes (vgl. BVGE 2009/27 E. 9). Zu keinem anderen Ergebnis führt der Hinweis des Beschwerdeführers, schon früher Gäste empfangen zu haben, welche dann rechtzeitig ausgereist seien. Jedes Einreisegesuch ist nach Massgabe seiner spezifischen Gegebenheiten einzelfallweise zu beurteilen, was in casu geschah und nicht zu beanstanden ist (vgl. Urteil des BVGer C-441/2015 vom 12. Mai 2015 E. 6.4.3).</w:t>
      </w:r>
    </w:p>
    <w:p>
      <w:r>
        <w:rPr>
          <w:b/>
        </w:rPr>
        <w:t>E. 6.4</w:t>
      </w:r>
    </w:p>
    <w:p>
      <w:r>
        <w:t>Gast und Gastgeber kennen sich erklärtermassen seit fünf Jahren. Die Gesuchstellerin gab gegenüber der Schweizer Vertretung an, sie habe den Beschwerdeführer durch ihren Schwager, der in den USA lebe, kennengelernt. Der Schwager wiederum sei dem Gastgeber aufgrund seines Möbelgeschäfts begegnet. Der Beschwerdeführer habe sie in ihrer Stadt besucht. Sie hätten sich insgesamt zehn Mal gesehen, zuletzt im Mai 2015, als der Gastgeber sie besucht habe (SEM pag. 14 und 16). Gemäss Beschwerdeführer seien sie zusammen in Singapur (2013, 2015 und 2016) und in Thailand (2016) gewesen (BVGer act. 1 S. 3 und Beilage 14). Demzufolge haben sich die Gesuchstellerin und der Beschwerdeführer bis anhin nur in Asien gesehen. Der Wunsch des Gastgebers, seine Freundin besser kennen zu lernen, ist verständlich. Aufgrund der vorgenommenen Beurteilung hat er sie aber - zumindest vorderhand - in deren Heimat zu treffen. Sollte zu gegebener Zeit ein Eheschluss ins Auge gefasst werden, so wäre über die Einreise der Gesuchstellerin - nach Abschluss der hierzu erforderlichen zivilstandsamtlichen Vorkehren - unter einem anderen Aspekt sowie in einem andersartigen Verfahren zu befinden (vgl. Art. 10 und 17 AuG bzw. Art. 42 AuG). Vorliegend wurde, wie angetönt, ein Visum für einen befristeten Besuchsaufenthalt beantragt, weshalb die Erteilung zwingend an eine fristgerechte Wiederausreise geknüpft ist. Kann hierfür keine Gewähr geboten werden, darf das beantragte Visum nicht erteilt werden (vgl. auch Urteil des BVGer C-1967/2015 vom 2. September 2015 E. 6.7).</w:t>
      </w:r>
    </w:p>
    <w:p>
      <w:r>
        <w:rPr>
          <w:b/>
        </w:rPr>
        <w:t>E. 6.5</w:t>
      </w:r>
    </w:p>
    <w:p>
      <w:r>
        <w:t>Insgesamt ist die Schlussfolgerung der Vorinstanz, wonach die Wiederausreise der Gesuchstellerin angesichts der allgemeinen Lage im Heimatland und ihrer individuellen Situation zu wenig gesichert sei, nicht zu beanstanden.</w:t>
      </w:r>
    </w:p>
    <w:p>
      <w:r>
        <w:rPr>
          <w:b/>
        </w:rPr>
        <w:t>E. 6.6</w:t>
      </w:r>
    </w:p>
    <w:p>
      <w:r>
        <w:t>Mit der fehlenden Gewähr für eine anstandslose Wiederausreise ist eine unabdingbare Voraussetzung zur Erteilung eines Schengen-Visums nicht erfüllt. Gründe für die Ausstellung eines Visums mit räumlich beschränkter Gültigkeit (vgl. dazu E.4.5) liegen nicht vor.</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sind die Kosten dem Beschwerdeführer aufzuerlegen (vgl. Art. 63 Abs. 1 VwVG, Art. 1, 2 und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