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F-2912/2015 vom 29. August 2016</w:t>
      </w:r>
    </w:p>
    <w:p>
      <w:r>
        <w:t>Bundesverwaltungsgericht, 2016-08-29, DE</w:t>
      </w:r>
    </w:p>
    <w:p>
      <w:r>
        <w:rPr>
          <w:b/>
        </w:rPr>
        <w:t xml:space="preserve">Quelle: </w:t>
      </w:r>
      <w:r>
        <w:t>https://mcp.opencaselaw.ch/entscheid/bvger_F-2912_2015</w:t>
      </w:r>
    </w:p>
    <w:p>
      <w:r>
        <w:t>FR: TAF F-2912/2015 du 29 août 2016</w:t>
      </w:r>
    </w:p>
    <w:p>
      <w:r>
        <w:t>IT: TAF F-2912/2015 del 29 agosto 2016</w:t>
      </w:r>
    </w:p>
    <w:p>
      <w:pPr>
        <w:pStyle w:val="Heading2"/>
      </w:pPr>
      <w:r>
        <w:t>Regeste</w:t>
      </w:r>
    </w:p>
    <w:p>
      <w:r>
        <w:t>Reisedokumente für ausländische Personen (Übriges)</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des SEM, welche die Ausstellung von Reisedokumenten für ausländische Personen betreffen (vgl. Art. 59 AuG [SR 142.20]). Das Bundesverwaltungsgericht entscheidet in der vorliegenden Angelegenheit endgültig (Art. 83 Bst. c Ziff. 6 BGG).</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Erhebung des Rechtsmittels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Nach Massgabe von Art. 59 Abs. 2 Bst. a AuG i.V.m. Art. 3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4 Abs. 1 RDV).</w:t>
      </w:r>
    </w:p>
    <w:p>
      <w:r>
        <w:rPr>
          <w:b/>
        </w:rPr>
        <w:t>E. 3.2</w:t>
      </w:r>
    </w:p>
    <w:p>
      <w:r>
        <w:t>Fraglos fällt der Beschwerdeführer, seit März 2008 im Besitze einer Aufenthaltsbewilligung, unter keine dieser Kategorien. Er kann somit keinen Anspruch auf Abgabe eines schweizerischen Ersatzreisepapiers geltend machen. Gemäss Art. 59 Abs. 1 AuG i.V.m. Art. 4 Abs. 2 RDV kann das SEM allerdings Jahresaufenthaltern im Rahmen des freien (pflichtgemässen) Ermessens einen Pass für eine ausländische Person abgeben. Voraussetzung ist jedoch immer, dass diese Ausländer schriftenlos sind.</w:t>
      </w:r>
    </w:p>
    <w:p>
      <w:r>
        <w:rPr>
          <w:b/>
        </w:rPr>
        <w:t>E. 3.3</w:t>
      </w:r>
    </w:p>
    <w:p>
      <w:r>
        <w:t>Gemäss der Legaldefinition von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SEM festgestellt (Art. 10 Abs. 4 RDV).</w:t>
      </w:r>
    </w:p>
    <w:p>
      <w:r>
        <w:rPr>
          <w:b/>
        </w:rPr>
        <w:t>E. 3.4</w:t>
      </w:r>
    </w:p>
    <w:p>
      <w:r>
        <w:t>Aus den Akten ergibt sich, dass der Beschwerdeführer zurzeit kein gültiges Reisepapier besitzt. Damit eine Rückkehr in den Heimatstaat jederzeit möglich bleibt, müssen ausländische Personen während ihres Aufent­haltes in der Schweiz im Besitze eines gültigen, nach Art. 13 Abs. 1 AuG an­erkannten Ausweis­papiers sein (vgl. Urteil des BVGer C-6101/2014 vom 29. Dezember 2015 E. 3.4 m.H.). Sie sind daher verpflichtet, Ausweispapiere zu beschaffen oder bei deren Beschaffung durch die Behörden mitzuwirken (vgl. Art. 89 sowie Art. 90 Bst. c AuG i.V.m. Art. 8 der Verordnung vom 24. Oktober 2007 über Zulassung, Aufenthalt und Erwerbstätigkeit [VZAE, SR 142.201]).</w:t>
      </w:r>
    </w:p>
    <w:p>
      <w:r>
        <w:rPr>
          <w:b/>
        </w:rPr>
        <w:t>E. 4.1</w:t>
      </w:r>
    </w:p>
    <w:p>
      <w:r>
        <w:t>Vorliegend ist demnach zu prüfen, ob die Vorinstanz hinsichtlich des Beschwerdeführers zu Recht die Schriftenlosigkeit - als unabdingbare Vor-aussetzung für die Ausstellung eines Reisedokuments - verneint hat, indem sie sowohl die Möglichkeit der Beschaffung eines heimatlichen Reisepasses (vgl. Art. 10 Abs. 1 Bst. b RDV) als auch die Zumutbarkeit entsprechender Bemühungen bei den zuständigen heimatlichen Behörden (vgl. Art. 10 Abs. 1 Bst. a RDV) als gegeben erachtete.</w:t>
      </w:r>
    </w:p>
    <w:p>
      <w:r>
        <w:rPr>
          <w:b/>
        </w:rPr>
        <w:t>E. 4.2</w:t>
      </w:r>
    </w:p>
    <w:p>
      <w:r>
        <w:t>Die Frage der Zumutbarkeit, mithin diejenige, ob die Beschaffung von Reisedoku­menten bei den Heimatbehörden von den betreffenden Personen verlangt werden kann, ist in diesem Zusammenhang nicht nach subjektiven, sondern nach objek­tiven Massstäben zu beurteilen (vgl. Urteil des BGer 2A.335/2006 vom 18. Oktober 2006 E. 2.1 m.H.). Namentlich von schutzbedürftigen und asylsuchenden Personen kann im Hinblick auf eine potentielle Gefährdungslage eine Kontaktaufnahme mit den zuständigen Behörden des Heimat- oder Herkunftsstaates nicht verlangt werden (vgl. Art. 10 Abs. 3 RDV). Aus diesen Ausführungen ist zu schliessen, dass von Personen, die - wie der Beschwerdeführer - im Besitze einer Jahresaufenthaltsbewilligung sind, eine solche Kontaktaufnahme im Hinblick auf die Beschaffung von Reisedokumenten verlangt werden kann. Der Beschwerdeführer erhebt denn auch - zu Recht - keine Einwände gegen eine Kontaktaufnahme mit den heimatlichen Behörden, will er sich doch bereits mehrmals, aber vergebens, mit der chinesischen Vertretung in der Schweiz in Verbindung gesetzt haben. Er ist somit nicht als schriftenlos im Sinne von Art. 10 Abs. 1 Bst. a RDV zu betrachten.</w:t>
      </w:r>
    </w:p>
    <w:p>
      <w:r>
        <w:rPr>
          <w:b/>
        </w:rPr>
        <w:t>E. 4.3</w:t>
      </w:r>
    </w:p>
    <w:p>
      <w:r>
        <w:t>Der Beschwerdeführer führt hingegen aus, all seine Bemühungen um Erhalt eines heimatlichen Reisepasses seien gescheitert, und behauptet in diesem Zusammenhang unter Vorlage verschiedener Fotos, der Zutritt zur Chinesischen Botschaft sei ihm dreimal verwehrt worden (vgl. Antwortschreiben an die Vorinstanz vom 16. Februar 2015, Rechtsmitteleingabe vom 5. Mai 2015 sowie Replik vom 2. November 2015). Zu Recht wies die Vorinstanz bereits in ihrer Verfügung vom 1. April 2015 darauf hin, dass die Behauptung des Beschwerdeführers, bereits an der Türe der Chinesischen Vertretung abgewiesen worden zu sein, in keiner Weise belegt worden sei, um in ihren Vernehmlassungen vom 13. August 2015 und 1. Dezember 2015 ergänzend festzuhalten, aus den Schilderungen zu seinen Besuchen beim Chinesischen Generalkonsulat in Zürich ergebe sich der Verdacht - der vom Beschwerdeführer im Verlaufe des Verfahrens übrigens nicht ausgeräumt werden konnte -, dass der Beschwerdeführer ausserhalb der Öffnungs- und Ansprechzeiten habe vorsprechen wollen. Gemäss Auskunft der diplomatischen Vertretung der Volksrepublik China stelle diese ihren in der Schweiz wohnhaften Staatsangehörigen, namentlich auch Personen tibetischer Herkunft, auf Gesuch hin chinesische Reisedokumente aus, sofern die gesetzlich vorgesehenen Abgabevoraussetzungen eingehalten worden seien. Dabei hat die Vorinstanz hinreichend aufgezeigt, wie der Beschwerdeführer vorzugehen hätte, um einen persönlichen Termin mit dem insbesondere für Gesuchsteller tibetischer Ethnie zuständigen Mitarbeiter des Generalkonsulats der Volksrepublik China zu vereinbaren. Gleichzeitig hat das SEM umfassend und detailliert dargelegt, auf welche Weise der Beschwerdeführer seine (möglicherweise erfolglosen) Bemühungen um Erhalt eines chinesischen Reisepasses gegenüber der Vorinstanz zu dokumentieren hätte (vgl. Bst. D., F. und H. des Sachverhalts). Aus den Akten ergeben sich keine Hinweise, dass sich der Beschwerdeführer, welcher in der Folge stillschweigend auf eine weitere Stellungnahme verzichtet hat, in der Zwischenzeit erneut und auf die von der Vor-instanz aufgezeigte Weise mit der Vertretung der Volksrepublik China in Verbindung gesetzt hätte, weshalb im heutigen Zeitpunkt (noch) nicht davon ausgegangen werden kann, er habe alles unternommen, um in den Besitz eines entsprechenden heimatlichen Reisedokuments zu gelangen. Damit ist auch das Erfordernis der Unmöglichkeit der Beschaffung von Reisedokumenten gemäss Art. 10 Abs. 1 Bst. b RDV nicht als erfüllt zu betrachten. Abschliessend gilt es darauf hinzuweisen, dass es dem Beschwerdeführer offensteht, in einem neuen Gesuch bei der Vorinstanz die Abgabe eines Passes für eine ausländische Person zu beantragen, sollten seine Be­mühungen und Abklärungen, die hinreichend, das heisst insbe­sondere schriftlich zu belegen wären, dennoch nicht zur Ausstellung eines heimatlichen Reisepapiers führen.</w:t>
      </w:r>
    </w:p>
    <w:p>
      <w:r>
        <w:rPr>
          <w:b/>
        </w:rPr>
        <w:t>E. 4.4</w:t>
      </w:r>
    </w:p>
    <w:p>
      <w:r>
        <w:t>Zusammenfassend ist festzuhalten, dass zum heutigen Zeitpunkt keine Umstände vorliegen, aufgrund derer der Beschwerdeführer als schriftenlos im Sinne von Art. 10 Abs. 1 RDV anzusehen wäre. Somit fehlt es an einer unabdingbaren Voraussetzung für die Ausstellung des beantragten Passes für eine ausländische Person.</w:t>
      </w:r>
    </w:p>
    <w:p>
      <w:r>
        <w:rPr>
          <w:b/>
        </w:rPr>
        <w:t>E. 5</w:t>
      </w:r>
    </w:p>
    <w:p>
      <w:r>
        <w:t>Die Vorinstanz hat demzufolge dem Beschwerdeführer zu Recht die Ausstellung eines schweizerischen Ersatzreisepapiers verweigert. Die angefochtene Verfügung erweist sich somit im Lichte von Art. 49 VwVG als rechtmässig und die Beschwerde ist dementsprechend abzuweisen.</w:t>
      </w:r>
    </w:p>
    <w:p>
      <w:r>
        <w:rPr>
          <w:b/>
        </w:rPr>
        <w:t>E. 6</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