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F-2908/2024 vom 28. Juni 2024</w:t>
      </w:r>
    </w:p>
    <w:p>
      <w:r>
        <w:t>Bundesverwaltungsgericht, 2024-06-28, DE</w:t>
      </w:r>
    </w:p>
    <w:p>
      <w:r>
        <w:rPr>
          <w:b/>
        </w:rPr>
        <w:t xml:space="preserve">Quelle: </w:t>
      </w:r>
      <w:r>
        <w:t>https://mcp.opencaselaw.ch/entscheid/bvger_F-2908_2024</w:t>
      </w:r>
    </w:p>
    <w:p>
      <w:r>
        <w:t>FR: TAF F-2908/2024 du 28 juin 2024</w:t>
      </w:r>
    </w:p>
    <w:p>
      <w:r>
        <w:t>IT: TAF F-2908/2024 del 28 giugno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(SR 142.31) in Verbindung mit Art. 31 VGG ist das Bundesverwaltungsgericht zur Beurteilung von Beschwerden auf dem Gebiet des Asyls zuständig und entscheidet über diese in der Regel - wie auch vorliegend - endgültig (vgl.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zur Beschwerdeführung legitimiert (Art. 48 Abs. 1 VwVG). Auf die frist- und formgerecht eingereichte Beschwerde ist einzutreten (Art. 108 Abs. 3 AsylG und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Gemäss Art. 3 Abs. 1 Dublin-III-VO wird jeder Asylantrag vom Mitgliedstaat geprüft, der nach den Kriterien des Kapitels III der Dublin-III-VO zuständig ist (vgl. auch Art. 7 Abs. 1 Dublin-III-VO).</w:t>
      </w:r>
    </w:p>
    <w:p>
      <w:r>
        <w:rPr>
          <w:b/>
        </w:rPr>
        <w:t>E. 3.2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 Gemäss Praxis des Bundesverwaltungsgerichts verfügt das SEM bei der Anwendung der Kann-Bestimmung von Art. 29a Abs. 3 AsylV 1 über einen Ermessensspielraum (vgl. BVGE 2015/9 E. 7 f.). Das Gericht überprüft daher den vorinstanzlichen Verzicht der Anwendung von Art. 29a Abs. 3 AsylV 1 nicht auf dessen Angemessenheit hin; es beschränkt seine Beurteilung darauf, ob die Vorinstanz den Sachverhalt korrekt und vollständig erhoben, allen wesentlichen Umständen Rechnung getragen und seinen Ermessensspielraum genutzt hat (vgl. Art. 106 Abs. 1 Bst. a und b AsylG).</w:t>
      </w:r>
    </w:p>
    <w:p>
      <w:r>
        <w:rPr>
          <w:b/>
        </w:rPr>
        <w:t>E. 4.1</w:t>
      </w:r>
    </w:p>
    <w:p>
      <w:r>
        <w:t>Die Vorinstanz hat korrekt erwogen, dass gemäss den Bestimmungen der Dublin-III-VO grundsätzlich Spanien, welches der Beschwerdeführerin am 11. Oktober 2023 ein bis zum 3. Dezember 2023 gültiges Visum erteilt hatte (vgl. Art. 12 Abs. 4 Dublin-III-VO), für die Behandlung des Asylgesuchs der Beschwerdeführerin zuständig ist, dass das spanische Asylsystem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den dokumentierten Gesundheitszustand der Beschwerdeführerin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hat dabei insbesondere berücksichtigt, dass der Beschwerdeführerin in Spanien der Zugang zur benötigten medizinischen Behandlung offensteht und die dortige medizinische Infrastruktur ausreichend ist (vgl. bspw. Urteile des BVGer E-4609/2023 vom 5. Oktober 2023 E. 5.5; E-3936/2023 vom 19. September 2023 E. 5.4.2). Zur näheren Begründung wird auf die vorinstanzlichen Erwägungen verwiesen.</w:t>
      </w:r>
    </w:p>
    <w:p>
      <w:r>
        <w:rPr>
          <w:b/>
        </w:rPr>
        <w:t>E. 4.2</w:t>
      </w:r>
    </w:p>
    <w:p>
      <w:r>
        <w:t>Was die Beschwerdeführerin auf Rechtsmittelebene vorbringt, vermag daran nichts zu ändern. Die darin gemachten Ausführungen und die eingereichten Fotographien beziehen sich teilweise auf ihre Asylgründe und sind demnach für das hiesige Verfahren grundsätzlich unerheblich. Es bestehen keine Anhaltspunkte dafür, Spanien werde im Falle der Beschwerdeführerin den Grundsatz des Non-Refoulement missachten und sie zur Ausreise in ein Land zwingen, in dem ihr Leib, ihr Leben oder ihre Freiheit aus einem Grund nach Art. 3 Abs. 1 AsylG gefährdet wären oder in dem sie Gefahr laufen würde, zur Ausreise in ein solches Land gezwungen zu werden. Neben einem bereits aktenkundigen Arztbericht vom 19. April 2024 reichte sie mit der Beschwerdeschrift einen Auszug einer WhatsApp-Nachricht zu den Akten (vgl. BVGer-act. 1, Beilagen). Dazu führte sie aus, sie würde sich in Spanien durch ihre Familie in Lebensgefahr befinden, weil sie sich in ihrem Heimatland einer Zwangsheirat entzogen hätte. Abgesehen davon, dass diese Nachricht sich nicht spezifisch auf ihren Aufenthalt in Spanien bezieht und somit zum Nachweis ihrer dortigen Gefährdungssituation nicht taugt, ist nicht davon auszugehen, dass ihre Familie sie in Spanien ohne ihre Mitwirkung ausfindig zu machen vermöchte. Im Falle einer Bedrohungssituation könnte sie sich zudem an die spanische Polizei wenden. Die während ihrer Psychotherapie geäusserten Bedenken, sie wäre in Spanien durch ihre Familie stärker bedroht als in der Schweiz (vgl. SEM-act. 23/5, S. 3), erweisen sich demnach als unbegründet.</w:t>
      </w:r>
    </w:p>
    <w:p>
      <w:r>
        <w:rPr>
          <w:b/>
        </w:rPr>
        <w:t>E. 4.3</w:t>
      </w:r>
    </w:p>
    <w:p>
      <w:r>
        <w:t>Zum Gesundheitszustand der Beschwerdeführerin sind verschiedene Arztberichte und Dokumente aktenkundig (vgl. BVGer-act. 5, SEM-act. 21/4, 22/2, 23/5). Demnach leidet sie an einer schweren depressiven Episode ohne psychotische Symptome, an einer posttraumatischen Belastungsstörung, einem verminderten Hungergefühl sowie an Magen- und Nackenschmerzen. Sie wurde bereits vor Erlass der vorinstanzlichen Verfügung einem Psychiatriezentrum für eine stationäre Behandlung zugewiesen und begab sich danach abermals dorthin (vgl. BVGer-act. 5; SEM-act. 23/5). Am 7. Juni 2024 konnte sie das Zentrum gemäss Austrittsbericht in einem stabilen Allgemeinzustand selbstständig verlassen (vgl. BVGer-act. 5, S. 4). Insbesondere ihre psychischen Probleme erscheinen angesichts dieser Ausführungen als schwerwiegend und stehen auch in einem Zusammenhang mit vorliegendem Asylverfahren, welches für sie sehr belastend zu sein scheint (vgl. SEM-act. 23/5, S. 3). Wie dem jüngsten Arztbericht zu entnehmen ist, ist demnach bei einer Rückführung nach Spanien mit einer starken Verschlechterung ihres psychischen Zustands zu rechnen (vgl. BVGer-act. 5, S. 4). Hinweise auf eine akute Suizidalität sowie zu den auf Beschwerdeebene vorgebrachten zwei Suizidversuchen ist den Arztberichten oder anderswo aber nicht zu entnehmen. In Bezug auf ihr Vorbringen, eine Überstellung nach Spanien würde eine Verletzung von Art. 3 EMRK darstellen, ist rechtsprechungsgemäss anzumerken, dass eine zwangsweise Rückweisung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m.H.a.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Urteile des EGMR Paposhvili gegen Belgien 13. Dezember 2016, Grosse Kammer 41738/10, §§ 180-193 m.w.H., bestätigt durch Savran gegen Dänemark vom 7. Dezember 2021, Grosse Kammer, 57467/15, §§ 121 ff.). Vor diesem Hintergrund und in Berücksichtigung der Aufnahmebedingungen von Asylsuchenden in Spanien kommt das Bundesverwaltungsgericht zum Schluss, dass der Gesundheitszustand der Beschwerdeführerin ihrer Überstellung nach Spanien nicht entgegensteht. Spanien verfügt über eine funktionierende Gesundheitsversorgung und ist verpflichtet, Asylsuchenden die erforderliche medizinische Versorgung, die zumindest die Notversorgung und die unbedingt erforderliche Behandlung von Krankheiten und schweren psychischen Störungen umfasst, zugänglich zu machen (Art. 19 Abs. 1 der Richtlinie des Europäischen Parlaments und des Rates 2013/33/EU vom 26. Juni 2013 zur Festlegung von Normen für die Aufnahme von Personen, die internationalen Schutz beantragen). Die schweizerischen Behörden, die mit dem Vollzug der angefochtenen Verfügung beauftragt sind, haben dem aktuellen Gesundheitszustand der Beschwerdeführerin bei der Überstellung zudem Rechnung zu tragen, indem sie die dortigen Behörden im Sinne von Art. 31 und Art. 32 Dublin-III-VO vorgängig über notwendige medizinische Behandlungen informieren.</w:t>
      </w:r>
    </w:p>
    <w:p>
      <w:r>
        <w:rPr>
          <w:b/>
        </w:rPr>
        <w:t>E. 5</w:t>
      </w:r>
    </w:p>
    <w:p>
      <w:r>
        <w:t>Die Vorinstanz ist nach dem Gesagten zu Recht in Anwendung von Art. 31a Abs. 1 Bst. b AsylG auf das Asylgesuch der Beschwerdeführerin nicht eingetreten und hat in Anwendung von Art. 44 AsylG deren Wegweisung nach Spanien angeordnet. Die angefochtene Verfügung ist nicht zu beanstanden und die Beschwerde ist abzuweisen.</w:t>
      </w:r>
    </w:p>
    <w:p>
      <w:r>
        <w:rPr>
          <w:b/>
        </w:rPr>
        <w:t>E. 6</w:t>
      </w:r>
    </w:p>
    <w:p>
      <w:r>
        <w:t>Bei diesem Ausgang des Verfahrens wären die Kosten der Beschwerdeführerin aufzuerlegen (vgl. Art. 63 Abs. 1 VwVG i.V.m. Art. 1 ff. des Reglements vom 21. Februar 2008 über die Kosten und Entschädigungen vor dem Bundesverwaltungsgericht [VGKE, SR 173.320.2]). Mit Zwischenverfügung vom 15. Mai 2024 hielt der Instruktionsrichter diesbezüglich fest, dass ihre Rechtbegehren nicht aussichtlos erscheinen, ihre prozessuale Bedürftigkeit jedoch nicht belegt sei. Die ihr anberaumte Frist zur Belegung ihrer Mittelosigkeit liess die Beschwerdeführerin unbenutzt verstreichen. Aufgrund der gesamten Aktenlage kann jedoch von einer solchen ausgegangen werden, und ihr sind demnach keine Verfahrenskosten aufzuerlegen. Eine Parteientschädigung fällt ausgangsgemäss ausser Betracht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