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F-2905/2015 vom 26. August 2016</w:t>
      </w:r>
    </w:p>
    <w:p>
      <w:r>
        <w:t>Bundesverwaltungsgericht, 2016-08-26, DE</w:t>
      </w:r>
    </w:p>
    <w:p>
      <w:r>
        <w:rPr>
          <w:b/>
        </w:rPr>
        <w:t xml:space="preserve">Quelle: </w:t>
      </w:r>
      <w:r>
        <w:t>https://mcp.opencaselaw.ch/entscheid/bvger_F-2905_2015</w:t>
      </w:r>
    </w:p>
    <w:p>
      <w:r>
        <w:t>FR: TAF F-2905/2015 du 26 août 2016</w:t>
      </w:r>
    </w:p>
    <w:p>
      <w:r>
        <w:t>IT: TAF F-2905/2015 del 26 agosto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zur Be­schwerde legitimiert (Art. 48 Abs. 1 VwVG). Auf die im Übrigen frist- und formgerecht eingereichte Beschwerde ist einzutreten (Art. 50 und 52 VwVG).</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(BVGE 2014/1 E. 2).</w:t>
      </w:r>
    </w:p>
    <w:p>
      <w:r>
        <w:rPr>
          <w:b/>
        </w:rPr>
        <w:t>E. 3</w:t>
      </w:r>
    </w:p>
    <w:p>
      <w:r>
        <w:t>Der angefochtenen Verfügung liegt das Gesuch einer kosovarischen Staatsangehörigen um Erteilung eines Visums für einen einmonatigen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Im Kosovo erweist sich die wirtschaftliche Lage auch Jahre nach Anerkennung der Unabhängigkeit als schwierig. Die Arbeitslosigkeit im Jahr 2014 lag offiziell bei über 35 % (bei Jugendlichen sogar noch deutlich höher), wobei diese Angaben aufgrund des in der Statistik schlecht erfassten informellen Sektors zu relativieren ist. Die kosovarische Regierung ging für das Jahr 2014 von einem Bruttoinlandprodukt von rund 3'080 Euro je Einwohner aus, womit Kosovo nicht nur als eines der ärmsten Länder Europas, sondern auch als das ärmste Land auf dem Balkan gilt. Zuverlässige Angaben über die Höhe der Transferleistungen aus dem Ausland fehlen jedoch. Diese Überweisungen - sie fliessen vor allem in den privaten Konsum - stellen jedenfalls eine wichtige Einkommensquelle und damit einen bedeutenden Wirtschaftsfaktor dar (Quelle: www.auswaertiges-amt.de Aussen- und Europapolitik Länderinformationen Kosovo Wirtschaftspolitik, Stand: Dezember 2015, abgerufen im Juli 2016).</w:t>
      </w:r>
    </w:p>
    <w:p>
      <w:r>
        <w:rPr>
          <w:b/>
        </w:rPr>
        <w:t>E. 5.4</w:t>
      </w:r>
    </w:p>
    <w:p>
      <w:r>
        <w:t>Die Schweiz gilt aufgrund der grossen hier ansässigen Diaspora als eines der beliebtesten Zielländer für Emigranten aus dem Kosovo. Die Tendenz zur Immigration wird erfahrungsge­mäss dort noch begünstigt, wo durch die Anwesenheit von Verwandten oder Freunden bereits ein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w:t>
      </w:r>
    </w:p>
    <w:p>
      <w:r>
        <w:rPr>
          <w:b/>
        </w:rPr>
        <w:t>E. 5.5</w:t>
      </w:r>
    </w:p>
    <w:p>
      <w:r>
        <w:t>Bei der Risikoanalyse sind jedoch nicht nur die allgemeinen Umstände und Erfahrungen, sondern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6.1</w:t>
      </w:r>
    </w:p>
    <w:p>
      <w:r>
        <w:t>Bei der Gesuchstellerin handelt es sich um eine mittlerweile 56-jährige Frau, die seit dem Kosovokrieg und damit schon seit geraumer Zeit verwitwet ist (Todestag des Ehemannes: [...], SEM act. 5/64). Sie bewohnt alleine ein Haus im Dorf D._______ (Gemeinde E._______), einem Ort, an dem im März 1999 eines der schwersten Kriegsverbrechen im Kosovokonflikt begangen wurde. Möglicherweise ist der Ehemann der Gesuchstellerin (wie zahlreiche andere Männer auch) Opfer dieses Massakers geworden. Am Wohnort der Gesuchstellerin sollen noch weitere nahe Verwandte - Angehörige ihres verstorbenen Ehemannes und eigene Geschwister - leben (SEM act. 8/105). Die Gesuchstellerin dürfte damit zwar durchaus ein gewisses familiäres Netz vor Ort haben. Ihre eigenen Kinder und Grosskinder sind aber alle ausserhalb Kosovos wohnhaft. Nebst der Gastgeberin lebt eine zweite Tochter mit Familie hier in der Schweiz. Der einzige Sohn der Gesuchstellerin lebt in Frankreich (dies gemäss den Angaben des damaligen Gastgebers in einem früheren Visumsverfahren, datiert vom 16. Februar 2012 (SEM act. 1/34). Ebenfalls in der Schweiz ansässig ist ein Bruder der Gesuchstellerin (SEM act. 8/105). Damit ist klar, dass die wichtigsten Bezugspersonen nicht mehr im Kosovo, sondern in der Schweiz und in Frankreich leben. Die Beziehungen zu diesen Personen können mit fortschreitendem Alter immer wichtiger werden. Andererseits ist über die Zukunftsplanung der (alleine lebenden) Gesuchstellerin weiter nichts bekannt. Es kann vor einem solchen Hintergrund nicht ausgeschlossen werden, dass der Wunsch einer definitiven Übersiedlung zu den eigenen Nachkommen besteht.</w:t>
      </w:r>
    </w:p>
    <w:p>
      <w:r>
        <w:rPr>
          <w:b/>
        </w:rPr>
        <w:t>E. 6.2</w:t>
      </w:r>
    </w:p>
    <w:p>
      <w:r>
        <w:t>Dass sich die Gesuchstellerin in vergleichsweise vorteilhaften wirtschaftlichen Verhältnissen befinden dürfte, ist nicht ernsthaft in Frage zu stellen. Sie lebt in einem (aus eingereichten Fotos zu schliessen) relativ grossen, modernen Haus und verfügt offenbar über ein beachtliches (wenn auch grossen Schwankungen unterworfenes) Bankguthaben. Gemäss Darstellung in der Beschwerde beschäftigt sie sich mit dem Anbau von Gemüse bzw. Gewürzpflanzen. Eigentliche Obliegenheiten oder gar Verpflichtungen, die von einer allfälligen Emigration abzuhalten vermöchten, sind aber weder darin noch in anderem Sachzusammenhang zu erkennen.</w:t>
      </w:r>
    </w:p>
    <w:p>
      <w:r>
        <w:rPr>
          <w:b/>
        </w:rPr>
        <w:t>E. 6.3</w:t>
      </w:r>
    </w:p>
    <w:p>
      <w:r>
        <w:t>In Konstellationen wie der vorliegenden stehen bei der persönlichen Lebensplanung wirtschaftliche Überlegungen häufig nicht im Vordergrund. Es sind vielmehr andere Anliegen wie die Nähe zu den nächsten Angehörigen, die persönliche Fürsorge im Alter oder eine bestmögliche medizinische Versorgung, die über eine allfällige Emigration entscheiden können.</w:t>
      </w:r>
    </w:p>
    <w:p>
      <w:r>
        <w:rPr>
          <w:b/>
        </w:rPr>
        <w:t>E. 6.4</w:t>
      </w:r>
    </w:p>
    <w:p>
      <w:r>
        <w:t>Vor dem beschriebenen allgemeinen und persönlichen Hintergrund durfte die Vorinstanz durchaus davon ausgehen, dass keine hinreichende Gewähr für eine fristgerechte und anstandslose Wiederausreise der Gesuchstellerin nach einem Besuchsaufenthalt besteht. An dieser Beurteilung ändert die Tatsache nichts, dass der Beschwerdeführer die rechtzeitige Rückkehr der Gesuchstellerin zusichert. In seiner Eigenschaft als Gastgeber kann er zwar für gewisse finanzielle Risiken (Lebenshaltungskosten während des Besuchsaufenthalts, allfällige von einer Versicherung nicht gedeckte Kosten für Unfall oder Krankheit sowie für Repatriierung) Garantie leisten, nicht aber - mangels rechtlicher und faktischer Durchsetzbarkeit - für ein bestimmtes Verhalten seines Gastes (vgl. BVGE 2009/27 E. 9).</w:t>
      </w:r>
    </w:p>
    <w:p>
      <w:r>
        <w:rPr>
          <w:b/>
        </w:rPr>
        <w:t>E. 6.5</w:t>
      </w:r>
    </w:p>
    <w:p>
      <w:r>
        <w:t>Gründe für die Ausstellung eines Visums mit räumlich beschränkter Gültigkeit wurden vom Beschwerdeführer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