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F-28/2025 vom 8. Januar 2025</w:t>
      </w:r>
    </w:p>
    <w:p>
      <w:r>
        <w:t>Bundesverwaltungsgericht, 2025-01-08, DE</w:t>
      </w:r>
    </w:p>
    <w:p>
      <w:r>
        <w:rPr>
          <w:b/>
        </w:rPr>
        <w:t xml:space="preserve">Quelle: </w:t>
      </w:r>
      <w:r>
        <w:t>https://mcp.opencaselaw.ch/entscheid/bvger_F-28_2025</w:t>
      </w:r>
    </w:p>
    <w:p>
      <w:r>
        <w:t>FR: TAF F-28/2025 du 8 janvier 2025</w:t>
      </w:r>
    </w:p>
    <w:p>
      <w:r>
        <w:t>IT: TAF F-28/2025 del 8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 Der Beschwerdeführer hat für seine Beschwerdeeingabe das von der Schweizerischen Flüchtlingshilfe (SFH) verfasste, auf dem Internet abrufbare Formular auf Farsi verwendet und dieses handschriftlich mit einer Begründung auf Deutsch und Englisch ergänzt. Nachdem der Text dieser Formulare, die in den verschiedensten Sprachen bestehen, gerichtsnotorisch ist, kann auf die Einholung einer Übersetzung der auf Farsi formulierte Anträge verzichtet werden.</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Art. 3 Abs. 1 Dublin-III-VO wird jeder Asylantrag von einem einzigen Mitgliedstaat geprüft, der nach den Kriterien des Kapitels III als zuständiger Staat bestimmt wird. Bulgarien hat der Wiederaufnahme (engl.: take back) des Beschwerdeführers gestützt auf Art. 18 Abs. 1 Bst. b Dublin-III-VO vorbehaltlos zugestimmt. Die grundsätzliche Zuständigkeit Bulgariens ist damit gegeben.</w:t>
      </w:r>
    </w:p>
    <w:p>
      <w:r>
        <w:rPr>
          <w:b/>
        </w:rPr>
        <w:t>E. 2.2</w:t>
      </w:r>
    </w:p>
    <w:p>
      <w:r>
        <w:t>Die Dublin-III-VO räumt den Schutzsuchenden kein Recht ein, den ihren Antrag prüfenden Staat selber auszuwählen (vgl. BVGE 2010/45 E. 8.3).</w:t>
      </w:r>
    </w:p>
    <w:p>
      <w:r>
        <w:rPr>
          <w:b/>
        </w:rPr>
        <w:t>E. 3</w:t>
      </w:r>
    </w:p>
    <w:p>
      <w:r>
        <w:t>Die Vorinstanz hat korrekt erwogen, das bulgarische Asylsystem weise rechtsprechungsgemäss keine systemischen Mängel auf (vgl. Referenzurteil des BVGer F-7195/2018 vom 11. Februar 2020 E. 6.6.7; jüngst Urteil des BVGer F-7595/2024 vom 11. Dezember 2024 E. 2.1), aufgrund derer die Zuständigkeit gemäss Art. 3 Abs. 2 Dublin-III-VO auf die Schweiz überginge und es seien keine völkerrechtlichen Vollzugshindernisse ersichtlich, welche die Schweiz zu einem Selbsteintritt nach Art. 17 Abs. 1 Dublin-III-VO verpflichten würden. Dabei hat sie insbesondere die Vorbringen des Beschwerdeführers im Hinblick auf die Situation in Bulgarien berücksichtigt und rechtsprechungskonform gewürdigt (vgl. jüngst Urteil des BVGer F-7222/2024 vom 26. November 2024 E. 4.2). Weiter ist die Vorinstanz gestützt auf die der Aktenlage - unter anderem unter Berücksichtigung der von ihr angeordneten medizinischen Altersabklärung, welche ein Mindestalter von (...) Jahren ergeben hat - zu Recht von der Volljährigkeit des Beschwerdeführers ausgegangen, was in der Rechtsmitteleingabe nicht beanstandet worden ist. Die Vorinstanz hat überdies festgehalten, der Beschwerdeführer könne aus der Anwesenheit eines Bekannten oder gegebenenfalls Verwandten in der Schweiz nichts zu seinen Gunsten ableiten, zumal kein Abhängigkeitsverhältnis bestehe und auch keine Hinweise dafür vorlägen. Die Vorbringen auf Beschwerdeebene, die Schweiz kümmere sich besser um Flüchtlinge und er habe hier eine bessere Zukunft, vermögen an der zutreffenden Beurteilung der Vorinstanz nichts zu ändern.</w:t>
      </w:r>
    </w:p>
    <w:p>
      <w:r>
        <w:rPr>
          <w:b/>
        </w:rPr>
        <w:t>E. 4</w:t>
      </w:r>
    </w:p>
    <w:p>
      <w:r>
        <w:t>Die Vorinstanz hat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nicht eingetreten und hat in Anwendung von Art. 44 AsylG die Wegweisung nach Bulgarien angeordnet.</w:t>
      </w:r>
    </w:p>
    <w:p>
      <w:r>
        <w:rPr>
          <w:b/>
        </w:rPr>
        <w:t>E. 5</w:t>
      </w:r>
    </w:p>
    <w:p>
      <w:r>
        <w:t>Die Beschwerde ist abzuweisen. Der am 3. Januar 2025 angeordnete Vollzugsstopp fällt mit vorliegendem Urteil dahin. Das Gesuch um Erteilung der aufschiebenden Wirkung ist gegenstandslos geworden.</w:t>
      </w:r>
    </w:p>
    <w:p>
      <w:r>
        <w:rPr>
          <w:b/>
        </w:rPr>
        <w:t>E. 6.1</w:t>
      </w:r>
    </w:p>
    <w:p>
      <w:r>
        <w:t>Die Begehren erweisen sich als aussichtslos, weshalb das Gesuch um Gewährung der unentgeltlichen Prozessführung und amtlichen Rechtsverbeiständung abzuweisen ist.</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