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F-28/2023 vom 11. Januar 2023</w:t>
      </w:r>
    </w:p>
    <w:p>
      <w:r>
        <w:t>Bundesverwaltungsgericht, 2023-01-11, DE</w:t>
      </w:r>
    </w:p>
    <w:p>
      <w:r>
        <w:rPr>
          <w:b/>
        </w:rPr>
        <w:t xml:space="preserve">Quelle: </w:t>
      </w:r>
      <w:r>
        <w:t>https://mcp.opencaselaw.ch/entscheid/bvger_F-28_2023</w:t>
      </w:r>
    </w:p>
    <w:p>
      <w:r>
        <w:t>FR: TAF F-28/2023 du 11 janvier 2023</w:t>
      </w:r>
    </w:p>
    <w:p>
      <w:r>
        <w:t>IT: TAF F-28/2023 del 11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 Das Feststellungsbegehren, die Schweiz sei für das Asylverfahren zuständig, geht im Hauptbegehren auf und besitzt insofern keine eigenständige Bedeutung.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macht geltend, die Vorinstanz habe ihre Begründungspflicht verletzt, indem sie sich auf Botschaftsabklärungen stütze, ohne diese konkret zu zitieren oder dem Entscheid beizulegen. Ferner verweise sie auf von ihr vorgenommene Abklärungen oder auf die Praxis in anderen Ländern, ohne entsprechende Quellen zu zitieren. Es sei folglich nicht möglich, die entsprechenden Ausführungen nachzuvollziehen. Entgegen der Ansicht des Beschwerdeführers beschlägt diese Rüge die Frage nach einer unrichtigen Feststellung des Sachverhalts und ist materieller Art. Darauf wird in E. 5 und 6 eingegangen.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4.4</w:t>
      </w:r>
    </w:p>
    <w:p>
      <w:r>
        <w:t>Ein Abgleich der Fingerabdrücke des Beschwerdeführers ergab, dass er am 28. Oktober 2022 in Kroatien daktyloskopisch erfasst wurde. Gleichentags stellte er gemäss Auszug aus der «Eurodac»-Datenbank ein Asylgesuch. Die kroatischen Behörden stimmten dem Wiederaufnahmeersuchen der Vorinstanz gestützt auf Art. 20 Abs. 5 Dublin-III-VO zu und wiesen gleichzeitig daraufhin, dass der Beschwerdeführer am 28. Oktober 2022 seinen Willen zum Ausdruck gebracht habe, um internationalen Schutz zu ersuchen, das Aufnahmezentrum vor Durchführung einer Anhörung jedoch verlassen habe. Somit sind sowohl die Antragsstellung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betrachten. Damit erübrigt sich auch die im Rahmen des Eventualbegehrens beantragte Einholung von Garantien von den kroatischen Behörden, wonach er bei seiner Rückkehr Zugang zum Asylverfahren, zu einer Unterkunft und angemessener Betreuung erhalten solle. Die Zuständigkeit Kroatiens ist somit grundsätzlich gegeben, was vom Beschwerdeführer auch nicht bestritten wird.</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F-3426/2022 vom 20. Dezember 2022 E. 5.5; F-5543/2022 vom 7. Dezember 2022 E. 4.2; F-1653/2022 vom 21. April 2022 E. 6.2; D-1404/2022 vom 30. März 2022; D-735/2022 vom 28. Februar 2022 E. 6.5.2; D-735/2022 vom 22. Februar 2022 E. 6.5.2). Für eine Änderung der Rechtsprechung besteht auch in Würdigung der vom Beschwerdeführer gemachten Äusserungen zu seiner Behandlung in Kroatien keine Veranlassung. Insbesondere ist auf die angeführten Berichte zu Push-Backs an der kroatischen Grenze und zu Verweigerung des Zugangs zum Asylverfahren nicht näher einzugehen, gab der Beschwerdeführer doch zu Protokoll, dass er in Kroatien gar nicht habe um Asyl ersuchen wollen und gegen seinen Willen registriert worden sei. Die Kritik des Beschwerdeführers, wonach die Vorinstanz ihre Recherchen und Abklärungen - namentlich bei der Botschaft - nicht durch Quellen belegt habe, zielt damit von vornherein ins Leere. Folglich ist die Anwendung von Art. 3 Abs. 2 Dublin-III-VO nicht gerechtfertigt.</w:t>
      </w:r>
    </w:p>
    <w:p>
      <w:r>
        <w:rPr>
          <w:b/>
        </w:rPr>
        <w:t>E. 6</w:t>
      </w:r>
    </w:p>
    <w:p>
      <w:r>
        <w:t>Nachfolgend ist zu prüfen, ob - wie beantragt - das Selbsteintrittsrecht nach Art. 17 Abs. 1 erster Satz Dublin-III-VO auszuüben ist.</w:t>
      </w:r>
    </w:p>
    <w:p>
      <w:r>
        <w:rPr>
          <w:b/>
        </w:rPr>
        <w:t>E. 6.1</w:t>
      </w:r>
    </w:p>
    <w:p>
      <w:r>
        <w:t>Der Beschwerdeführer führt an, er sei in Kroatien geschlagen, bedroht und beleidigt worden. Ferner seien die Aufnahmebedingungen in Kroatien prekär.</w:t>
      </w:r>
    </w:p>
    <w:p>
      <w:r>
        <w:rPr>
          <w:b/>
        </w:rPr>
        <w:t>E. 6.1.1</w:t>
      </w:r>
    </w:p>
    <w:p>
      <w:r>
        <w:t>Der Beschwerdeführer vermag nicht darzutun, dass die ihn bei einer Rückführung nach Kroatien zu erwartenden Bedingungen derart schlecht sind, dass sie zu einer Verletzung von Art. 3 EMRK führen könnten.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Der Beschwerdeführer wendet ein, faktisch bestehe kein Zugang zur kroatischen Justiz. Er zeigt jedoch nicht auf, dass er sich an die zuständigen Behörden gewendet hätte und ob und in welcher Form diese reagiert hätten. Im Übrigen steht dem Beschwerdeführer die Möglichkeit offen, die vor Ort tätigen karitativen Organisationen zu kontaktieren.</w:t>
      </w:r>
    </w:p>
    <w:p>
      <w:r>
        <w:rPr>
          <w:b/>
        </w:rPr>
        <w:t>E. 6.1.2</w:t>
      </w:r>
    </w:p>
    <w:p>
      <w:r>
        <w:t>Des Weiteren liegen keine konkreten Anhaltspunkte vor, wonach die Gesundheit des Beschwerdeführers bei einer Überstellung nach Kroatien ernsthaft gefährdet würde. Anlässlich der Anhörung vom 21. November 2022 hat er angegeben, es gehe ihm gesundheitlich sehr gut. Entsprechend ist auf die von ihm vorgebrachte hypothetische Möglichkeit, dass er in Zukunft auf die Gesundheitsversorgung in Kroatien aufgrund seiner Erlebnisse in Burundi angewiesen sein könnte, nicht näher einzugehen. Eine Verletzung von Art. 3 EMRK ist im Fall des [Altersangabe], gesunden Beschwerdeführers nicht zu befürchten. Der Vollständigkeit halber ist einzig festzuhalten, dass - sollte er nach der Rückkehr nach Kroatien tatsächlich eine medizinische Behandlung benötigen -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6.2</w:t>
      </w:r>
    </w:p>
    <w:p>
      <w:r>
        <w:t>Schliesslich ist nicht ersichtlich, inwiefern humanitäre Gründe einen Selbsteintritt der Schweiz gebieten würden. Die Vorinstanz hat ihr Ermessen korrekt ausgeübt. Damit erweist sich auch die Rüge, die Vorinstanz habe ihre Abklärungen nicht belegt, als unbehelflich; im Übrigen ist darauf hinzuweisen, dass das Gericht die Frage, ob Tatsachen vorliegen oder nicht, nach dem Grundsatz der freien Beweiswürdigung beurteilt.</w:t>
      </w:r>
    </w:p>
    <w:p>
      <w:r>
        <w:rPr>
          <w:b/>
        </w:rPr>
        <w:t>E. 6.3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des Beschwerdeführers nicht eingetreten und hat die Wegweisung nach Kroatien angeordnet.</w:t>
      </w:r>
    </w:p>
    <w:p>
      <w:r>
        <w:rPr>
          <w:b/>
        </w:rPr>
        <w:t>E. 8</w:t>
      </w:r>
    </w:p>
    <w:p>
      <w:r>
        <w:t>Nach dem Gesagten ist die Beschwerde abzuweisen. Mit dem vorliegenden Urteil fällt der am 3. Januar 2023 angeordnete Vollzugsstopp dahin. Das Gesuch um Erteilung der aufschiebenden Wirkung ist gegenstandslos geworden.</w:t>
      </w:r>
    </w:p>
    <w:p>
      <w:r>
        <w:rPr>
          <w:b/>
        </w:rPr>
        <w:t>E. 9</w:t>
      </w:r>
    </w:p>
    <w:p>
      <w:r>
        <w:t>Das Gesuch um Gewährung der unentgeltlichen Rechtspflege (Art. 65 Abs. 1 und 2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