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F-2898/2021 vom 28. Juni 2021</w:t>
      </w:r>
    </w:p>
    <w:p>
      <w:r>
        <w:t>Bundesverwaltungsgericht, 2021-06-28, FR</w:t>
      </w:r>
    </w:p>
    <w:p>
      <w:r>
        <w:rPr>
          <w:b/>
        </w:rPr>
        <w:t xml:space="preserve">Quelle: </w:t>
      </w:r>
      <w:r>
        <w:t>https://mcp.opencaselaw.ch/entscheid/bvger_F-2898_2021</w:t>
      </w:r>
    </w:p>
    <w:p>
      <w:r>
        <w:t>FR: TAF F-2898/2021 du 28 juin 2021</w:t>
      </w:r>
    </w:p>
    <w:p>
      <w:r>
        <w:t>IT: TAF F-2898/2021 del 28 giugno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4.3</w:t>
      </w:r>
    </w:p>
    <w:p>
      <w:r>
        <w:t>En cas de demande multiple au sens de l'art. 111c al. 1 LAsi, à savoir lorsqu'un requérant revient en Suisse après que son (précédent) transfert Dublin a été exécuté et y dépose une nouvelle demande d'asile, le SEM doit entamer une nouvelle procédure Dublin s'il souhaite procéder à un nouveau transfert de l'intéressé vers l'Etat Dublin compétent (cf. ATAF 2017 VI/5 consid. 4.3.2 s.).</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5.1</w:t>
      </w:r>
    </w:p>
    <w:p>
      <w:r>
        <w:t>Dans le cas particulier, la compétence de la France a déjà été déterminée par décision du 30 janvier 2019 à la suite de la seconde demande d'asile que l'intéressé a formulée en Suisse. Cette décision n'ayant pas fait l'objet d'une procédure de recours, elle est entrée en force et le recourant a été transféré vers la France le 8 mai 2019. Cela étant, l'intéressé est revenu sur le sol helvétique et a ainsi contraint les autorités suisses à entamer une nouvelle procédure Dublin. Les investigations entreprises par le SEM dans le contexte de la nouvelle procédure Dublin ont par ailleurs révélé, après consultation de l'unité centrale du système européen « Eurodac », que l'intéressé avait déposé une demande d'asile en France le 22 mai 2019. Le 27 mai 2021, le SEM a dès lors soumis aux autorités françaises compétentes, dans les délais fixés aux art. 23 par. 2 et 24 par. 2 du règlement Dublin III, une requête aux fins de reprise en charge. Le 30 mai 2021, lesdites autorités ont expressément accepté de reprendre en charge le requérant, de sorte que la compétence de la France pour traiter cette demande d'asile est donnée.</w:t>
      </w:r>
    </w:p>
    <w:p>
      <w:r>
        <w:rPr>
          <w:b/>
        </w:rPr>
        <w:t>E. 5.2</w:t>
      </w:r>
    </w:p>
    <w:p>
      <w:r>
        <w:t>Dans son mémoire de recours, l'intéressé a contesté avoir déposé une demande d'asile en France. Cela étant, cet argument ne saurait être décisif dans le cas particulier. A ce sujet, le Tribunal constate en premier lieu que les autorités françaises ont explicitement accepté la reprise en charge de l'intéressé sur la base de l'art. 18 par. 1 let. c du règlement Dublin III et partant reconnu que l'intéressé avait retiré sa demande d'asile. En tout état de cause, la compétence des autorités françaises a déjà été déterminée par décision du 30 janvier 2019, à la suite de la seconde demande d'asile que le recourant a déposée en Suisse, soit avant l'enregistrement de la demande d'asile en France le 22 mai 2019. La responsabilité de la France n'a pas cessé depuis lors, l'intéressé n'ayant pas établi avoir quitté le territoire des Etats membres Dublin durant plus de trois mois (cf. art. 19 par. 2 du règlement Dublin III). Partant, la question de savoir si l'intéressé a effectivement déposé une demande d'asile en France le 22 mai 2019 est sans incidence sur l'issue de la présente cause. Il importe également de rappeler que le règlement Dublin III ne confère pas au recourant le droit de choisir l'Etat membre offrant, à son avis, les meilleures conditions d'accueil comme Etat responsable de l'examen de sa demande d'asile (cf. ATAF 2017 VI/5 consid. 8.2.1).</w:t>
      </w:r>
    </w:p>
    <w:p>
      <w:r>
        <w:rPr>
          <w:b/>
        </w:rPr>
        <w:t>E. 5.3</w:t>
      </w:r>
    </w:p>
    <w:p>
      <w:r>
        <w:t>Sur un autre plan, le Tribunal ne voit pas en quoi le fait que le recourant ait été placé en centre de rétention à deux reprises durant son séjour en France sans pouvoir être renvoyé dans son pays d'origine pourrait jouer un rôle décisif dans le cadre de la présente procédure de recours. A toutes fins utiles, il sied de noter à ce sujet que si - après son transfert en France - le recourant devait être contraint par les circonstances à mener une existence non conforme à la dignité humaine ou s'il devait estimer que ce pays ce pays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et en dernière extrémité, à la Cour EDH.</w:t>
      </w:r>
    </w:p>
    <w:p>
      <w:r>
        <w:rPr>
          <w:b/>
        </w:rPr>
        <w:t>E. 5.4</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w:t>
      </w:r>
    </w:p>
    <w:p>
      <w:r>
        <w:rPr>
          <w:b/>
        </w:rPr>
        <w:t>E. 6</w:t>
      </w:r>
    </w:p>
    <w:p>
      <w:r>
        <w:t>En conséquence, c'est à bon droit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w:t>
      </w:r>
    </w:p>
    <w:p>
      <w:r>
        <w:rPr>
          <w:b/>
        </w:rPr>
        <w:t>E. 7</w:t>
      </w:r>
    </w:p>
    <w:p>
      <w:r>
        <w:t>Partant, le recours est rejeté. En outre, dans la mesure où il a été immédiatement statué sur le fond, les requêtes formulées dans le mémoire de recours tendant à l'octroi de l'effet suspensif et à la dispense du versement d'une avance de frais sont devenues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