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F-2897/2025 vom 5. Mai 2025</w:t>
      </w:r>
    </w:p>
    <w:p>
      <w:r>
        <w:t>Bundesverwaltungsgericht, 2025-05-05, FR</w:t>
      </w:r>
    </w:p>
    <w:p>
      <w:r>
        <w:rPr>
          <w:b/>
        </w:rPr>
        <w:t xml:space="preserve">Quelle: </w:t>
      </w:r>
      <w:r>
        <w:t>https://mcp.opencaselaw.ch/entscheid/bvger_F-2897_2025</w:t>
      </w:r>
    </w:p>
    <w:p>
      <w:r>
        <w:t>FR: TAF F-2897/2025 du 5 mai 2025</w:t>
      </w:r>
    </w:p>
    <w:p>
      <w:r>
        <w:t>IT: TAF F-2897/2025 del 5 maggio 2025</w:t>
      </w:r>
    </w:p>
    <w:p>
      <w:pPr>
        <w:pStyle w:val="Heading2"/>
      </w:pPr>
      <w:r>
        <w:t>Regeste</w:t>
      </w:r>
    </w:p>
    <w:p>
      <w:r>
        <w:t>Renvoi Dublin (droit des étrangers)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PA), que par conséquent, il y a lieu de mettre les frais de procédure à la charge du recourant, conformément aux art. 63 al. 1 PA et art. 2 et 3 let. a du règlement du 21 février 2008 concernant les frais, dépens et indemnités fixés par le Tribunal administratif fédéral (FITAF, RS 173.320.2), (dispositif : page suivante)</w:t>
      </w:r>
    </w:p>
    <w:p>
      <w:r>
        <w:t>F-2897/2025 Page 7 le Tribunal administratif fédéral prononce 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