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F-2888/2021 vom 10. November 2021</w:t>
      </w:r>
    </w:p>
    <w:p>
      <w:r>
        <w:t>Bundesverwaltungsgericht, 2021-11-10, DE</w:t>
      </w:r>
    </w:p>
    <w:p>
      <w:r>
        <w:rPr>
          <w:b/>
        </w:rPr>
        <w:t xml:space="preserve">Quelle: </w:t>
      </w:r>
      <w:r>
        <w:t>https://mcp.opencaselaw.ch/entscheid/bvger_F-2888_2021</w:t>
      </w:r>
    </w:p>
    <w:p>
      <w:r>
        <w:t>FR: TAF F-2888/2021 du 10 novembre 2021</w:t>
      </w:r>
    </w:p>
    <w:p>
      <w:r>
        <w:t>IT: TAF F-2888/2021 del 10 novembre 2021</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angeordnet werden, wenn die betroffene Person eine schwerwiegende Gefahr für die öffentliche Sicherheit und Ordnung darstellt (Art. 67 Abs. 3 AIG).</w:t>
      </w:r>
    </w:p>
    <w:p>
      <w:r>
        <w:rPr>
          <w:b/>
        </w:rPr>
        <w:t>E. 3.2</w:t>
      </w:r>
    </w:p>
    <w:p>
      <w:r>
        <w:t>Eine schwerwiegende Gefahr für die öffentliche Sicherheit und Ordnung im Sinne von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w:t>
      </w:r>
    </w:p>
    <w:p>
      <w:r>
        <w:rPr>
          <w:b/>
        </w:rPr>
        <w:t>E. 4.1</w:t>
      </w:r>
    </w:p>
    <w:p>
      <w:r>
        <w:t>Die Vorinstanz begründete in ihrer Verfügung vom 17. Mai 2021 das Einreiseverbot mit dem Umstand, dass der Beschwerdeführer mit rechtskräftigem Urteil des Kantonsgerichts Appenzell Ausserrhoden vom 16. August 2016 wegen vorsätzlicher Tötung zu einer unbedingten Freiheitsstrafe von neun Jahren verurteilt worden sei. In der Folge habe die kantonale Migrationsbehörde dem Beschwerdeführer am 10. Mai 2019 die Niederlassungsbewilligung widerrufen und ihn aus der Schweiz weggewiesen. Das daraufhin eingereichte Gesuch um Erteilung einer Härtefallbewilligung und der Antrag um vorläufige Aufnahme seien ebenfalls abgelehnt worden. Die vom Beschwerdeführer ausgeübte Tat stelle einen äusserst schweren Verstoss gegen die öffentliche Sicherheit und Ordnung und gegen die Gesetzgebung dar (Art. 67 Abs. 2 Bst. a AIG). Gemäss Urteil des Obergerichtes sei das objektive und subjektive Verschulden als mittelschwer einzustufen und der Beschwerdeführer habe durch seinen massiven Gewalteinsatz mit einem gefährlichen Gegenstand eine ausgeprägte kriminelle Energie offenbart. Auch sei seine Schuldfähigkeit nicht beeinträchtigt gewesen.</w:t>
      </w:r>
    </w:p>
    <w:p>
      <w:r>
        <w:rPr>
          <w:b/>
        </w:rPr>
        <w:t>E. 4.2</w:t>
      </w:r>
    </w:p>
    <w:p>
      <w:r>
        <w:t>Dagegen führte der Beschwerdeführer aus, die Vorinstanz begnüge sich mit der Behauptung, dass die von ihm ausgeübte Tat einen äusserst schweren Verstoss gegen die öffentliche Sicherheit und Ordnung und gegen die Gesetzgebung darstelle. Sie unterlasse es jedoch zu berücksichtigen, dass er von Anfang an geständig gewesen sei und selbst die Polizei gerufen habe. Zudem sei es ihm beim Vorfall vom 16. März 2015 (recte: 22. März 2015) einzig darum gegangen, sein Leben und das seines Sohnes zu schützen. Er habe sich nachweislich in einer Notwehrsituation befunden. Von einer kriminellen Energie, wie dies die Vorinstanz vorbringe oder gar einem schweren Verstoss gegen die öffentliche Sicherheit und Ordnung könne nicht die Rede sein, ohne in Willkür zu verfallen (Beschwerde Ziff. 17).</w:t>
      </w:r>
    </w:p>
    <w:p>
      <w:r>
        <w:rPr>
          <w:b/>
        </w:rPr>
        <w:t>E. 4.3</w:t>
      </w:r>
    </w:p>
    <w:p>
      <w:r>
        <w:t>Der Beschwerdeführer verkennt, dass sich die Vorinstanz auf die rechtskräftigen Erkenntnisse der strafurteilenden Behörden stützte und allfällige schuldmildernde Umstände im Strafverfahren bereits berücksichtigt wurden (zur Bindung der Administrativbehörde an die Erkenntnis der strafurteilenden Behörde vgl. BVGE 2013/33 E. 4.3 oder BGE 136 II 447 E. 3.1 je m.H.). Das Obergericht Appenzell Ausserrhoden legte in seinem Urteil vom 23. Januar 2018 denn auch sehr sorgfältig und umfassend dar, wieso es von einer (eventual-)vorsätzlichen Tötung ausging. Nicht vorzuwerfen ist dem SEM zudem, dass es in seiner Verfügung vom 17. Mai 2021 ausführte, der Beschwerdeführer habe bei der Tatbegehung eine ausgeprägte kriminelle Energie offenbart. Aus dem vorinstanzlichen Entscheid geht ausdrücklich hervor, dass sich das SEM dabei auf die Auffassung des Obergerichts stützte (SEM pag. 120). Nicht gehört werden kann zudem die Behauptung des Beschwerdeführers, er habe sich nachweislich in einer Notwehrsituation befunden. Das Vorliegen einer Notwehrsituation wurde von den strafurteilenden Behörden eingehend geprüft und verneint (vgl. letztinstanzliches Urteil des Bundesgerichts 6B_901/2018 vom 15. Februar 2019 E. 1.4 und E. 2). Damit besteht für den Beschwerdeführer kein Raum mehr, seine Delinquenz an dieser Stelle zu relativieren. Er hat zweifellos gegen die öffentliche Sicherheit und Ordnung im Sinne von Art. 67 Abs. 2 Bst. a AIG verstossen.</w:t>
      </w:r>
    </w:p>
    <w:p>
      <w:r>
        <w:rPr>
          <w:b/>
        </w:rPr>
        <w:t>E. 5</w:t>
      </w:r>
    </w:p>
    <w:p>
      <w:r>
        <w:t>Das angefochtene Einreiseverbot gilt für eine Dauer von zehn Jahren. Es ist deshalb weiter zu prüfen, ob die Voraussetzungen gemäss Art. 67 Abs. 3 zweiter Satz AIG (schwerwiegende Gefahr für die öffentliche Sicherheit und Ordnung) erfüllt sind, was die Verhängung einer mehr als fünfjährigen Fernhaltemassnahme zulässt.</w:t>
      </w:r>
    </w:p>
    <w:p>
      <w:r>
        <w:rPr>
          <w:b/>
        </w:rPr>
        <w:t>E. 5.1</w:t>
      </w:r>
    </w:p>
    <w:p>
      <w:r>
        <w:t>Der Beschwerdeführer wurde mit Urteil des Obergerichts Appenzell Ausserrhoden vom 23. Januar 2018 wegen vorsätzlicher Tötung zu einer unbedingten Freiheitsstrafe von neun Jahren verurteilt. Das Gericht sah es dabei als erwiesen an, dass sich am 22. März 2015 aufgrund einer vorgelagerten Auseinandersetzung zwischen Jugendlichen mehrere Beteiligte und deren Väter bei einem Schulplatz in A._______ trafen. Auch der Sohn des Beschwerdeführers rief zu Hause an und liess Letzterem ausrichten, dass er zu diesem Treffen kommen solle. Der Beschwerdeführer befand sich zu diesem Zeitpunkt im Garten, wo er mit einem Küchenmesser Schnüre einer Verpackung löste. Er unterbrach seine Arbeit, steckte das Messer in die Jackentasche und begab sich zum Schulhaus. In der Folge kam es zwischen dem Beschwerdeführer und einem anderen Vater zu Diskussionen, einer verbalen Auseinandersetzung sowie einem kurzen Körperkontakt. Anschliessend gerieten die beiden aneinander. Dabei zog der Beschwerdeführer das Messer aus der Jackentasche und drohte seinem Opfer. Diesem gelang es zunächst, den messerführenden Arm des Beschwerdeführers zurückzustossen, wobei sich Letzterer leicht am Kinn verletzte. Der Beschwerdeführer drohte seinem Opfer in der Folge erneut mit dem Messer und stach mit grosser Wucht in dessen Brustbereich. Das Opfer verstarb kurze Zeit später an den Folgen der Durchstechung der linken Herzkammerwand. Diese Sachverhaltsdarstellung wurde letztinstanzlich bestätigt (vgl. Urteil des BGer 6B_901/2018 E. 1.4).</w:t>
      </w:r>
    </w:p>
    <w:p>
      <w:r>
        <w:rPr>
          <w:b/>
        </w:rPr>
        <w:t>E. 5.2</w:t>
      </w:r>
    </w:p>
    <w:p>
      <w:r>
        <w:t>Gemäss den Ausführungen im Entscheid des Obergerichts Appenzell Ausserrhoden habe der Beschwerdeführer sein Opfer dabei ohne Grund niedergestochen und dessen Leben ausgelöscht, weshalb das objektive Verschulden als mittelschwer zu qualifizieren sei. Der Beschwerdeführer und das Opfer sowie ihre Familien hätten sich seit vielen Jahren gekannt und im selben Quartier gewohnt. Die beiden hätten teilweise auch in denselben Restaurants verkehrt. Zu Auseinandersetzungen oder Konflikten sei es nie gekommen. Durch seinen massiven Gewalteinsatz mit einem gefährlichen Gegenstand habe der Beschwerdeführer eine ausgeprägte kriminelle Energie offenbart. Im Rahmen des subjektiven Tatverschuldens sei dem Beschwerdeführer zu Gute zu halten, dass er sein Opfer nicht habe töten wollen, die Tat also eventualvorsätzlich begangen habe. Die Tat wäre aber vermeidbar gewesen und dem Beschwerdeführer hätten andere Wege offen gestanden, die für ihn bedrohliche Situation aufzulösen. Er hätte weglaufen oder zumindest in einen anderen Körperteil stechen können. Das subjektive Verschulden des Beschwerdeführers sei ebenfalls mittel, aber eher im unteren Bereich liegend einzustufen. In Würdigung sämtlicher subjektiver Kriterien (die Beweggründe und die eventualvorsätzliche Begehung der Tat würden eher für ein leichteres, die ausgeprägte kriminelle Energie und der Umstand, dass die Tat hätte vermieden werden können, würden hingegen für ein mittleres Verschulden sprechen) sowie der mittleren objektiven Tatschwere sei das Gesamtverschulden als mittelschwer, jedoch eher im unteren Bereich liegend einzustufen (SEM pag. 19 ff.).</w:t>
      </w:r>
    </w:p>
    <w:p>
      <w:r>
        <w:rPr>
          <w:b/>
        </w:rPr>
        <w:t>E. 5.3</w:t>
      </w:r>
    </w:p>
    <w:p>
      <w:r>
        <w:t>Der Beschwerdeführer hat mit der begangenen Straftat zweifellos eine sehr schwere Straftat begangen, die rechtsprechungsgemäss wegen der Hochwertigkeit des verletzten Rechtsguts (Leib und Leben) zum Schutz der Öffentlichkeit selbst ein geringes Restrisiko nicht zulässt. Eine vorsätzliche Tötung gehört denn auch zu denjenigen Anlasstaten die vom Verfassungsgeber als besonders verwerflich betrachtet werden und zum Verlust eines jeden Aufenthaltsrechts sowie zu einem obligatorischen Einreiseverbot von fünf bis fünfzehn Jahren Dauer führen sollen (vgl. Art. 121 Abs. 3 Bst. a und Abs. 4 BV sowie die diesbezügliche Konkretisierung in Art. 66a Abs. 1 Bst. a StGB).</w:t>
      </w:r>
    </w:p>
    <w:p>
      <w:r>
        <w:rPr>
          <w:b/>
        </w:rPr>
        <w:t>E. 5.4</w:t>
      </w:r>
    </w:p>
    <w:p>
      <w:r>
        <w:t>Nichts abgeleitet werden kann dabei aus dem Umstand, dass sich der Beschwerdeführer - der sich seit seiner Festnahme bis am 21. März 2021 im Strafvollzug befand - bedingt entlassen wurde. Im ausländerrechtlichen Administrativverfahren kommt weder dem Wohlverhalten während des eng überwachten und betreuten Strafvollzugalltags noch der bedingten Entlassung aus dem Strafvollzug eine ausschlaggebende Bedeutung zu (vgl. dazu eingehend BGE 137 II 233 E. 5.2.2 m.H.). Erschwerend kommt hinzu, dass der Beschwerdeführer sein Verhalten im vorliegenden Verfahren noch immer zu bagatellisieren versucht, indem er von einer «nachweislichen Notwehrsituation» spricht, obwohl das Vorliegen einer solchen von den strafurteilenden Behörden ausdrücklich verneint wurde (siehe E. 4.3). Die fehlende Einsicht des Beschwerdeführers wiegt schwer, und es kann nicht ausgeschlossen werden, dass er erneut aus nichtigem Anlass eine Gewalttat begeht.</w:t>
      </w:r>
    </w:p>
    <w:p>
      <w:r>
        <w:rPr>
          <w:b/>
        </w:rPr>
        <w:t>E. 5.5</w:t>
      </w:r>
    </w:p>
    <w:p>
      <w:r>
        <w:t>Zu beachten gilt es auch, dass der Beschwerdeführer seit seiner bedingten Entlassung aus dem Strafvollzug erneut delinquierte. So wurde er mit Strafbefehl der Staatsanwaltschaft Appenzell Ausserrhoden vom 17. August 2021 wegen rechtswidrigen Aufenthalts in der Schweiz (vom 16. Mai bis 29. Juni 2021) zu einer bedingten Freiheitsstrafe von 30 Tagen verurteilt (kant. pag 1 ff.). Da er innert angesetzter Probezeit erneut straffällig wurde, sprach die Staatsanwaltschaft zudem eine Verwarnung aus (kant. pag. 3).</w:t>
      </w:r>
    </w:p>
    <w:p>
      <w:r>
        <w:rPr>
          <w:b/>
        </w:rPr>
        <w:t>E. 5.6</w:t>
      </w:r>
    </w:p>
    <w:p>
      <w:r>
        <w:t>In Anbetracht der Hochwertigkeit des deliktisch bedrohten Rechtsgutes und der damit einhergehenden herabgesetzten Anforderungen an die Wiederholungsgefahr ist davon auszugehen, dass vom Beschwerdeführer eine aktuelle und schwerwiegende Gefahr im Sinne von Art. 67 Abs. 3 AIG ausgeht, weshalb ein die Regelmaximaldauer von fünf Jahren übersteigendes Einreiseverbot gerechtfertigt erscheint.</w:t>
      </w:r>
    </w:p>
    <w:p>
      <w:r>
        <w:rPr>
          <w:b/>
        </w:rPr>
        <w:t>E. 6</w:t>
      </w:r>
    </w:p>
    <w:p>
      <w:r>
        <w:t>Bestand und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6.1</w:t>
      </w:r>
    </w:p>
    <w:p>
      <w:r>
        <w:t>Der Beschwerdeführer hat mit der begangenen Tat eine der schwerstmöglichen, gegen das menschliche Leben als höchstes Rechtsgut gerichtete Straftat begangen. Von ihm geht weiterhin eine bestehende Gefahr für die öffentliche Sicherheit und Ordnung aus, die angesichts der Schwere der Rechtsgutverletzung nicht hinzunehmen ist. Er hat - wie an obiger Stelle dargelegt (E. 5.2) - durch sein von ausgeprägter krimineller Energie gekennzeichnetes Verhalten eindrücklich gezeigt, dass er nicht gewillt ist, sich an die hiesige Rechtsordnung zu halten. Es besteht somit ein gewichtiges öffentliches Interesse an einer langjährigen Fernhaltung.</w:t>
      </w:r>
    </w:p>
    <w:p>
      <w:r>
        <w:rPr>
          <w:b/>
        </w:rPr>
        <w:t>E. 6.2</w:t>
      </w:r>
    </w:p>
    <w:p>
      <w:r>
        <w:t>Es gilt zu prüfen, ob allenfalls private Interessen des Beschwerdeführers vorliegen, die das öffentliche Interesse überwiegen könnten. Er verweist dabei auf seinen aktuellen Gesundheitszustand und führt dazu im Wesentlichen aus, er habe sich in der Schweiz noch zahlreichen Untersuchungen und Behandlungen zu unterziehen. Zudem könne er nur in der Schweiz von seiner Familie unterstützt werden. Im Kosovo sei die Betreuung nicht gewährleistet, zumal auch seine Ehefrau nicht in der Lage sei, alleine für ihn zu sorgen. Durch das Einreiseverbot von zehn Jahren würde seine Gesundheit erheblich und akut gefährdet. Seine privaten Interessen seien ganz klar höher zu gewichten als das öffentliche Interesse an seiner Fernhaltung (Beschwerde Ziff. 19 sowie Ziff. 8 ff.).</w:t>
      </w:r>
    </w:p>
    <w:p>
      <w:r>
        <w:rPr>
          <w:b/>
        </w:rPr>
        <w:t>E. 6.3</w:t>
      </w:r>
    </w:p>
    <w:p>
      <w:r>
        <w:t>Diesbezüglich ist vorerst festzuhalten, dass dem Beschwerdeführer im vorliegendem Verfahren nicht zu einem Daueraufenthalt in der Schweiz verholfen werden kann. Die Einschränkungen seines Privat- und Familienlebens wurden in erster Linie durch den Entzug der Niederlassungsbewilligung begründet, weshalb die regelmässige medizinische und familiäre Betreuung in der Schweiz bereits am fehlenden Bleiberecht scheitern. In casu stellt sich damit einzig die Frage, ob die durch das Einreiseverbot zusätzlich bewirkte Erschwernis vor Art. 8 Ziff. 1 EMRK standhält.</w:t>
      </w:r>
    </w:p>
    <w:p>
      <w:r>
        <w:rPr>
          <w:b/>
        </w:rPr>
        <w:t>E. 6.3.1</w:t>
      </w:r>
    </w:p>
    <w:p>
      <w:r>
        <w:t>Gemäss den eingereichten medizinischen Berichten befindet sich der Beschwerdeführer seit einem im Jahr 1993 erlittenen Arbeitsunfall in medizinischer Behandlung. Gemäss seinen eigenen Aussagen sei er seit diesem Zeitpunkt schwer krank und arbeitsunfähig (Beschwerde Ziff. 8). Wie sich aus den Akten ergibt, wurde ihm nie eine IV-Rente zugesprochen (kant. pag. 824 ff.). Einem Bericht des Gefängnisarztes Dr. med. Z._______ vom 11. Januar 2021 zufolge leide der Beschwerdeführer an einem generalisierten Schmerzsyndrom, einer somatoformen Schmerzstörung, einer koronaren Herzkrankheit, Hypertonie und Diabetes mellitus Typ 2 (leicht [Beschwerdebeilage 10]). Der Arzt führte in einer E-Mail vom 25. Januar 2021 aus, der Beschwerdeführer benötige ärztliche Behandlung und sinnvollerweise Zugang zu somatischer und psychiatrischer Behandlung. Weiter machte er geltend, dass der Beschwerdeführer im Augenblick keine körperliche Pflege benötige und selbständig sei, was die täglichen Verrichtungen angehe (Beschwerdebeilage 11). Einem Bericht von Dr. med. C._______ vom 30. April 2021 ist zu entnehmen, dass der Beschwerdeführer auf Grund eines Unfalles im Jahr 1993 trotz Therapien noch immer Schmerzen habe. Er sei deshalb auf fremde Hilfe angewiesen und eine adäquate Therapie lasse sich in Albanien nicht auftreiben. Einer Ausschaffung stehe hingegen nichts im Wege, allerdings müsse der Beschwerdeführer einen Mindestzustand von Gesundheit haben. Dafür habe er sich bereits in Therapie begeben und sei noch in Vorabklärung (Beschwerdebeilage 13). Im Kurzbericht vom 1. Juni 2021 weist Dr. med. C._______ unter anderem darauf hin, dass es auf Grund der neuesten Befunde möglich, respektive wahrscheinlich sei, eine Gesamtverbesserung des Allgemeinzustands zu erreichen, die es dem Beschwerdeführer erlauben würde, sich selbst zu versorgen (Beschwerdebeilage 14). Einem kardiologischen Bericht vom 20. Mai 2021 sind folgende Diagnosen zu entnehmen: Koronare Gefässerkrankung, kardiovaskuläre Risikofaktoren (Dyslipidämie, Adipositas, Diabetes mellitus Typ II), komplexes Schmerzsyndrom. Als weiteres Prozedere wurden zusätzliche Abklärungen mittels Stressechokardiographie vereinbart und aufgrund des Diabetes mellitus die Therapie mit einem SGLT2-Hemmer vorgeschlagen; gelegentlich sollten erneute Kontrollen des Lipidprofils durchgeführt werden (Beschwerdebeilage 15 und 16).</w:t>
      </w:r>
    </w:p>
    <w:p>
      <w:r>
        <w:rPr>
          <w:b/>
        </w:rPr>
        <w:t>E. 6.3.2</w:t>
      </w:r>
    </w:p>
    <w:p>
      <w:r>
        <w:t>Bereits die kantonale Migrationsbehörde hielt in ihren Verfügungen vom 10. Mai 2019 und 28. April 2021 fest, dass davon auszugehen sei, der Beschwerdeführer erhalte im Kosovo die notwendige medizinische Pflege und Betreuung (SEM pag. 75 und pag. 80 f.). Davon ging auch das Departement Inneres und Sicherheit Appenzell Ausserrhoden in seinem Rekursentscheid vom 28. Mai 2021 (kant. pag. 316) aus. Dieser Ansicht schliesst sich das Bundesverwaltungsgericht an. So verfügt die in Pristina ansässige Universitätsklinik Kosovo - als grösste und wichtigste staatliche Gesundheitseinrichtung - über 15 Kliniken und Unterabteilungen, insgesamt 38 medizinische Einrichtungen und Organisationseinheiten, darunter Laboreinrichtungen und eine Zentralapotheke. Der Grossteil der gängigen Krankheiten kann in diesen Kliniken behandelt werden. In der Kardiologie wird ein Teil der Herzoperationen, namentlich Stent- und By-Pass-Operationen nicht auf den entsprechenden Abteilungen der Universitätsklinik in Pristina, sondern in privaten Kliniken ausgeführt. Unter Einbezug privater Apotheken ist zudem heute ein Grossteil der Medikamente zur Behandlung der gängigen Krankheitsbilder verfügbar. Weiter gibt es im Kosovo ein mehrstufiges, nahezu flächendeckendes staatliches psychiatrisches Behandlungssystem für einen Grossteil der psychischen Erkrankungen (vgl. Bericht des SEM vom 9. März 2017 «Focus Kosovo - Medizinische Grundversorgung» S. 15 f. sowie Urteile des BVGer D-1776/2016 vom 22. Oktober 2019 E. 6.3, F-3804/2018 vom 20. Juni 2019 E. 7.3.4). Die lebensnotwendige Grundversorgung ist damit sichergestellt, wenn auch allenfalls auf tieferem Niveau. Zugute kommen dürfte dem Beschwerdeführer, dass in der Schweiz bereits umfassende medizinische Abklärungen durchgeführt worden sind und seine Schmerzproblematik bekannt ist.</w:t>
      </w:r>
    </w:p>
    <w:p>
      <w:r>
        <w:rPr>
          <w:b/>
        </w:rPr>
        <w:t>E. 6.3.3</w:t>
      </w:r>
    </w:p>
    <w:p>
      <w:r>
        <w:t>Weiter ist es dem Beschwerdeführer grundsätzlich möglich, das Familienleben - wobei seine vier Kinder allesamt volljährig und nicht mehr Bestandteil der Kernfamilie im Sinne von Art. 8 EMRK sind - trotz Einreiseverbot in eingeschränktem Rahmen aufrechtzuerhalten. So können bei Vorliegen wichtiger Gründe Einreiseverbote gestützt auf Art. 67 Abs. 5 AIG auf Gesuch hin für kurze, klar begrenzte Zeit suspendiert werden. Demnach liegt die Erschwernis während der Geltungsdauer der Fernhaltemassnahme nicht in einem absoluten Verbot von Einreisen. Vielmehr besteht die Einschränkung in der Notwendigkeit, im Vorfeld eines Besuchsaufenthalts in der Schweiz - nebst der Beantragung eines Visums - eine vorübergehende Aufhebung des Einreiseverbots zu erwirken. Die Familie kann den Beschwerdeführer - der gemäss ärztlicher Bestätigung, was die täglichen Verrichtungen angeht, selbständig ist (Beschwerdebeilage 11) - im Kosovo besuchen und soweit möglich und nötig unterstützen; dies auch in finanzieller Hinsicht (vgl. Beschwerde Ziff. 8, Rekursentscheid Departement Inneres und Sicherheit Appenzell Ausserrhoden vom 28. Mai 2021 E. 16 [kant. pag. 316]). Der Kontakt kann zudem mit modernen Kommunikationsmitteln sichergestellt werden. In diesem Sinne ist es grundsätzlich möglich, ein gewisses Mass an Familienleben aufrechtzuerhalten (vgl. Urteil des BVGer F-4301/2018 vom 24. Mai 2019 E. 7.6 m.H.). Überdies ist zu bedenken, dass der Beschwerdeführer den Kontakt zu seinen Familienangehörigen bereits im Rahmen des Massnahmenvollzugs nur eingeschränkt pflegen konnte.</w:t>
      </w:r>
    </w:p>
    <w:p>
      <w:r>
        <w:rPr>
          <w:b/>
        </w:rPr>
        <w:t>E. 6.3.4</w:t>
      </w:r>
    </w:p>
    <w:p>
      <w:r>
        <w:t>Schliesslich vermag der Beschwerdeführer aus der langen Aufenthaltsdauer in der Schweiz nichts zu seinen Gunsten abzuleiten. Dabei ist zu bemerken, dass er erst im Alter von 27 Jahren in die Schweiz eingereist ist und die prägenden Jahre der Kindheit und Adoleszenz in seinem Heimatland verbracht hat. Es ist davon auszugehen, dass er mit der kosovarischen Sprache und Kultur vertraut ist. Entgegen den beschwerdeweisen Ausführungen ist im Hinblick auf seine Straffälligkeit nicht davon auszugehen, er sei in der Schweiz bestens integriert (vgl. Art. 58a Abs. 1 Bst. a und b AIG sowie Rekursentscheid des Departements Inneres und Sicherheit Appenzell Ausserrhoden vom 28. Mai 2021 E. 13 [kant. pag. 316]).</w:t>
      </w:r>
    </w:p>
    <w:p>
      <w:r>
        <w:rPr>
          <w:b/>
        </w:rPr>
        <w:t>E. 6.4</w:t>
      </w:r>
    </w:p>
    <w:p>
      <w:r>
        <w:t>Eine wertende Gewichtung und Abwägung der sich entgegenstehen-den Interessen führt das Bundesverwaltungsgericht zum Schluss, dass das gegen den Beschwerdeführer verhängte Einreiseverbot von seiner Dauer her mitnichten zu beanstanden ist, sondern aufgrund der Schwere der Tat und der Uneinsichtigkeit des Beschwerdeführers sogar eine längere Dauer hätte in Betracht gezogen werden können. Angesichts dieses Umstands und der Hochwertigkeit des verletzten Rechtsgutes vermag das private Interesse das sehr gewichtige öffentliche Interesse an einer länger dauernden Fernhaltemassnahme nicht zu überwiegen. Die Dauer des Einreiseverbots von zehn Jahren erweist sich - auch unter Berücksichtigung der Praxis in ähnlich gelagerten Fällen (vgl. bspw. Urteile des BVGer F-1818/2019 vom 22. Februar 2021 und F-4191/2017 vom 18. Juni 2018) - demzufolge als verhältnismässig.</w:t>
      </w:r>
    </w:p>
    <w:p>
      <w:r>
        <w:rPr>
          <w:b/>
        </w:rPr>
        <w:t>E. 7</w:t>
      </w:r>
    </w:p>
    <w:p>
      <w:r>
        <w:t>In Anbetracht der vorangegangenen Ausführungen ist ein überwiegendes öffentliches Interesse nicht nur der Schweiz, sondern sämtlicher Schengen-Staaten an der längerfristigen Fernhaltung des Beschwerdeführers gegeben. Seine Ausschreibung im Schengener Informationssystem (SIS II) ist gestützt auf Art. 21 und 24 Ziff. 1 und 2 Bst. a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8</w:t>
      </w:r>
    </w:p>
    <w:p>
      <w:r>
        <w:t>Aus den vorstehenden Erwägungen ergibt sich, dass die angefochtene Verfügung im Lichte von Art. 49 VwVG nicht zu beanstanden ist. Die Beschwerde ist abzuweisen.</w:t>
      </w:r>
    </w:p>
    <w:p>
      <w:r>
        <w:rPr>
          <w:b/>
        </w:rPr>
        <w:t>E. 9</w:t>
      </w:r>
    </w:p>
    <w:p>
      <w:r>
        <w:t>Bei diesem Ausgang des Verfahrens sind die Kosten dem Beschwerdeführer aufzuerlegen (Art. 63 Abs. 1 VwVG) und auf Fr. 1'200.-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