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F-2883/2025 vom 30. April 2025</w:t>
      </w:r>
    </w:p>
    <w:p>
      <w:r>
        <w:t>Bundesverwaltungsgericht, 2025-04-30, DE</w:t>
      </w:r>
    </w:p>
    <w:p>
      <w:r>
        <w:rPr>
          <w:b/>
        </w:rPr>
        <w:t xml:space="preserve">Quelle: </w:t>
      </w:r>
      <w:r>
        <w:t>https://mcp.opencaselaw.ch/entscheid/bvger_F-2883_2025</w:t>
      </w:r>
    </w:p>
    <w:p>
      <w:r>
        <w:t>FR: TAF F-2883/2025 du 30 avril 2025</w:t>
      </w:r>
    </w:p>
    <w:p>
      <w:r>
        <w:t>IT: TAF F-2883/2025 del 30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Behandlung der Asylgesuche der Beschwerdeführenden zuständig ist, dass das kroatische Asylsystem rechtsprechungsgemäss keine systemischen Schwachstellen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Dabei hat sie insbesondere die Vorbringen der Beschwerdeführenden im Hinblick auf ihre geltend gemachten gesundheitlichen (und insb. psychischen) Beeinträchtigungen sowie das geltend gemachte Fehlverhalten einzelner kroatischer Sicherheitskräfte berücksichtigt. Des Weiteren hat die Vorinstanz korrekt erwogen, dass sich vorliegend weder aufgrund des Kindswohls noch wegen der in China erlebten Misshandlungen eine Zuständigkeit der Schweiz ergibt. Die Vorinstanz hat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die Asylgesuche der Beschwerdeführerin nicht eingetreten und hat in Anwendung von Art. 44 AsylG ihre Wegweisung nach Kroatien angeordnet. Zur näheren Begründung wird auf die Erwägungen der Vorinstanz verwiesen.</w:t>
      </w:r>
    </w:p>
    <w:p>
      <w:r>
        <w:rPr>
          <w:b/>
        </w:rPr>
        <w:t>E. 2.2</w:t>
      </w:r>
    </w:p>
    <w:p>
      <w:r>
        <w:t>Was die Beschwerdeführenden auf Rechtsmittelebene vorbringen, vermag nichts an der Richtigkeit der angefochtenen Verfügung zu ändern. Die in der Beschwerde zitierten Berichte betreffend die Situation von Asylsuchenden in Kroatien vermögen nicht zu widerlegen, dass das kroatische Asylsystem keine systemischen Schwachstellen aufweist und insgesamt davon auszugehen ist, dass Gesuchstellende, welche gestützt auf die Dublin-III-VO nach Kroatien überstellt werden, Zugang zum dortigen Asylverfahren erhalten (vgl. E. 2.1 hiervor). In Bezug auf die von den Beschwerdeführenden geltend gemachten körperlichen Leiden (die Beschwerdeführerin 1 gibt an, Diabetes zu haben und beim Beschwerdeführer 2 wurden Hepatitis C, eine Posttraumatische Belastungsstörung und eine Heroinabhängigkeit, welche durch erzwungene Heroinverabreichungen in chinesischen Konzentrationslagern ausgelöst wurde, diagnostiziert) ist ergänzend darauf hinzuweisen, dass Kroatien über eine ausreichende medizinische Infrastruktur zur Versorgung physischer und psychischer Leiden verfügt (statt vieler: Urteil des BVGer F-2200/2025 vom 10. April 2025 E. 6.4) und die dem Beschwerdeführer 2 verschriebenen Medikamente (Quetiapin Mepha, Xanax und Pantoprazol) beziehungsweise Alternativen dazu auch in Kroatien erhältlich sind. Den Vorbringen der Beschwerdeführenden 1 und 2, wonach sie in China Opfer von Folter geworden seien und Anspruch auf holistische Rehabilitationsmassnahmen hätten, ist zu entgegnen, dass sich die geltend gemachten Ereignisse in China zugetragen haben, die Beschwerdeführenden aber nach Kroatien überstellt werden, welches Signatarstaat der EMRK und des Übereinkommens vom 10. Dezember 1984 gegen Folter und andere grausame, unmenschliche oder erniedrigende Behandlung oder Strafe (FoK, SR 0.105) ist und die entsprechenden völkerrechtlichen Verpflichtungen zu beachten hat. Was das geltend gemachte Fehlverhalten einzelner kroatischer Beamten angeht, wird darauf hingewiesen, dass es sich bei Kroatien um einen Rechtsstaat handelt, in dem Opfer von Gewalt alle üblichen Beschwerdemechanismen zur Verfügung stehen (vgl. die diesbezüglichen Ausführungen im angefochtenen Entscheid).</w:t>
      </w:r>
    </w:p>
    <w:p>
      <w:r>
        <w:rPr>
          <w:b/>
        </w:rPr>
        <w:t>E. 2.3</w:t>
      </w:r>
    </w:p>
    <w:p>
      <w:r>
        <w:t>Angesichts der vorstehenden Ausführungen besteht keine Veranlassung, die Vorinstanz zu verpflichten, bei den kroatischen Behörden eine individuelle und konkrete Garantieerklärung betreffend die angemessene Unterbringung aller Beschwerdeführenden und betreffend die medizinische (insb. psychiatrische) Behandlung des Beschwerdeführers 2 einzuholen (statt vieler: Urteil des BVGer F1935/2025 vom 31. März 2025 E. 6.1.5). Der entsprechende Eventualantrag ist abzuweisen.</w:t>
      </w:r>
    </w:p>
    <w:p>
      <w:r>
        <w:rPr>
          <w:b/>
        </w:rPr>
        <w:t>E. 3</w:t>
      </w:r>
    </w:p>
    <w:p>
      <w:r>
        <w:t>Soweit die Beschwerdeführenden geltend machen, die Vorinstanz habe ihre Untersuchungspflicht verletzt, ist darauf hinzuweisen, dass die Vorinstanz unter Bezugnahme auf die vorhandenen Akten und die Schilderungen der Beschwerdeführenden deren individuelle Situation und Gesundheitszustand rechtsgenüglich abgeklärt und angemessen berücksichtigt hat. Es ist nicht ersichtlich, inwiefern das Einholen eines psychiatrischen Gutachtens betreffend den Beschwerdeführer 2 weitere Erkenntnisse hätte bringen können. Bei dieser Sachlage drängen sich weitere Abklärungen durch die Vorinstanz nicht auf (vgl. BGE 144 V 361 E. 6.5; 141 I 60 E. 3.3 zur antizipierten Beweiswürdigung). Eine Verletzung des Untersuchungsgrundsatzes liegt nicht vor. Der Eventualantrag auf Rückweisung der Sache an die Vorinstanz ist abzuweisen.</w:t>
      </w:r>
    </w:p>
    <w:p>
      <w:r>
        <w:rPr>
          <w:b/>
        </w:rPr>
        <w:t>E. 4</w:t>
      </w:r>
    </w:p>
    <w:p>
      <w:r>
        <w:t>Nach dem Gesagten ist die angefochtene Verfügung nicht zu beanstanden (Art. 106 AsylG) und die Beschwerde ist abzuweisen. Mit dem vorliegenden Urteil fällt der am 24. April 2025 angeordnete Vollzugsstopp dahin. Die Gesuche um Gewährung der aufschiebenden Wirkung der Beschwerde und um Verzicht auf die Erhebung eines Kostenvorschusses sind mit heutigem Entscheid gegenstandslos geworden.</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den unterliegenden Beschwerdeführenden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