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F-286/2018 vom 8. August 2019</w:t>
      </w:r>
    </w:p>
    <w:p>
      <w:r>
        <w:t>Bundesverwaltungsgericht, 2019-08-08, DE</w:t>
      </w:r>
    </w:p>
    <w:p>
      <w:r>
        <w:rPr>
          <w:b/>
        </w:rPr>
        <w:t xml:space="preserve">Quelle: </w:t>
      </w:r>
      <w:r>
        <w:t>https://mcp.opencaselaw.ch/entscheid/bvger_F-286_2018</w:t>
      </w:r>
    </w:p>
    <w:p>
      <w:r>
        <w:t>FR: TAF F-286/2018 du 8 août 2019</w:t>
      </w:r>
    </w:p>
    <w:p>
      <w:r>
        <w:t>IT: TAF F-286/2018 del 8 agosto 2019</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 der Verfügung ist Y._______ zur Beschwerde legitimiert (vgl. Art. 48 Abs. 1 VwVG). Auf seine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und entscheidet darüber, vorbehältlich völkerrechtlicher Verpflichtungen, autonom (vgl.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3.2</w:t>
      </w:r>
    </w:p>
    <w:p>
      <w:r>
        <w:t>Die angefochtene Verfügung betrifft das Visumsgesuch eines pakistanischen Staatsangehörigen.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Ausländer- und Integrationsgesetz (AIG, SR 142.20) und seine Ausführungsbestimmungen gelangen nur insoweit zur Anwendung, als die Schengen-Assoziierungsabkommen keine abweichenden Bestimmungen enthalten (vgl. Art. 2 Abs. 4 AIG sowie Art. 1 Abs. 2 der Verordnung vom 15. August 2018 über die Einreise und die Visumserteilung [VEV, SR 142.204]).</w:t>
      </w:r>
    </w:p>
    <w:p>
      <w:r>
        <w:rPr>
          <w:b/>
        </w:rPr>
        <w:t>E. 4</w:t>
      </w:r>
    </w:p>
    <w:p>
      <w:r>
        <w:t>Drittstaatsangehörige müssen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AIG; Art. 3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5</w:t>
      </w:r>
    </w:p>
    <w:p>
      <w:r>
        <w:t>Im vorliegenden Fall hat die Vorinstanz sowohl den Aufenthaltszweck als auch die anstandslose Wiederausreise des Gesuchstellers bezweifelt und dies sowohl mit dem jahrelangen Getrenntleben von seiner in Pakistan lebenden Familie als auch mit den dortigen wirtschaftlichen und sozialen Verhältnissen begründet. Zwar ist die Vorinstanz bei Erlass der Verfügung - aufgrund der in diesem Zeitpunkt vorliegenden Dokumente des Gesuchstellers - davon ausgegangen, dass dieser nach dem geplanten Aufenthalt in der Schweiz nicht in die VAE würde zurückkehren können, sondern zwangsläufig wieder in seinem Heimatland leben müsste; diese Annahme ist möglicherweise unzutreffend, weil die im späteren Verlauf des Beschwerdeverfahrens eingereichten Dokumente - auch wenn sie als Kopien nur beschränkten Beweiswert haben - auf eine erneute Einreise in die VAE schliessen lassen. Darauf kommt es im Ergebnis jedoch nicht an. Zum einen hat die mit Eingabe vom 20. März 2018 als Kopie übermittelte Aufenthaltsbewilligung nur eine Gültigkeit bis zum 6. November 2018, zum anderen wäre selbst eine erneute und gegenwärtig bestehende Aufenthaltserlaubnis keine Garantie für eine zeitlich unbegrenzt mögliche Wohnsitznahme und Arbeitsmöglichkeit in den VAE (vgl. auch den auf dem Dokument enthaltenen Hinweis auf das Erlöschen der Bewilligung bei mehr als sechsmonatiger Landesabwesenheit).</w:t>
      </w:r>
    </w:p>
    <w:p>
      <w:r>
        <w:rPr>
          <w:b/>
        </w:rPr>
        <w:t>E. 6</w:t>
      </w:r>
    </w:p>
    <w:p>
      <w:r>
        <w:t>Von daher kann im Hinblick auf die bestehenden Zweifel an der Wiederausreise des Gesuchstellers der Aspekt vernachlässigt werden, dass dieser nach Ablauf des hier geplanten Besuchsaufenthalts in die VAE zurückkehren könnte. Im Vordergrund steht stattdessen die Frage nach der freiwilligen Ausreise in sein Heimatland Pakistan. Insoweit können jedoch - wie grundsätzlich bei jedem Gesuch für ein Schengen-Visum -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7.1</w:t>
      </w:r>
    </w:p>
    <w:p>
      <w:r>
        <w:t>Pakistans Wirtschaft hat aus mehreren Gründen - dazu gehören die günstige geographische Lage, niedrige Lohnkosten, die junge Bevölkerung und eine expandierende Mittelschicht - Wachstumspotenzial. Jahrzehntelange Vernachlässigung der sozialen und wirtschaftlichen Infrastruktur sowie politische Instabilität führten neben weiteren Faktoren dazu, dass dieses Potenzial bisher nicht ausgeschöpft wurde, dies trotz Anstiegs des Bruttoinlandsprodukts in den letzten beiden Jahren um je mehr als 5 Prozent. Dennoch ist festzustellen, dass sich die makroökonomische Lage in Pakistan stark verschlechtert hat, nachdem ein dreijähriges Unterstützungsprogramm des IWF im September 2016 beendet wurde. Ein neues Hilfsprogramm wurde zwar Ende 2018 beantragt; seine Details sind aber noch nicht ausgehandelt. Vor diesem Hintergrund wird auch in Zukunft nur mit Wachstumsquoten zu rechnen sein, die hinter denjenigen der anderen rasch wachsenden Volkswirtschaften in Asien zurückbleiben. Als Pakistans grösste Wachstumshemmnisse gelten Korruption, ineffiziente Bürokratie, ein unsicheres regulatorisches Umfeld, relativ teure bzw. unzureichende Energieversorgung und eine teilweise immer noch fragile Sicherheitslage (vgl. Deutsches Auswärtiges Amt, http://www.auswaertiges-amt.de &gt; Aussen- und Europapolitik &gt; Länderinformationen &gt; Pakistan &gt; Wirtschaft &gt; Aktuelle Wirtschaftslage / Wirtschaftsklima [Stand: 5. März 2019]). Innenpolitisch bleibt die Bedrohung durch Terrorismus und Extremismus zentrales Problem für die Sicherheit des Landes, auch wenn die Gewalt durch militante und terroristische Gruppen etwas gesunken ist. Seit Jahren verüben jedoch die Taliban und andere Gruppierungen terroristische Anschläge, die vor allem Einrichtungen des Militärs und der Polizei treffen sollen. Opfer sind aber auch politische Gegner der Taliban, Medienvertreter, religiöse Minderheiten, Schiiten sowie Muslime, die nicht der strikt konservativen Islam-Auslegung der Taliban folgen. Gesellschaftliche Herausforderung für die gesamte Infrastruktur Pakistans ist das mit durchschnittlich mehr als zwei Prozent pro Jahr hohe Bevölkerungswachstum. Ihm zufolge ist mehr als die Hälfte der pakistanischen Bevölkerung unter 25 Jahre alt, was insbesondere das Bildungs- und Gesundheitssystem des Landes sowie die Absorptionsfähigkeit des Arbeitsmarkts vor Probleme stellt. Hinzu kommt, dass die nachhaltige Entwicklung einer liberalen Demokratie mit effektivem Rechtsstaat und Schutz der Menschenrechte durch die bestehenden Strukturen weiterhin behindert wird (zu Vorstehendem: vgl. Deutsches Auswärtiges Amt, a.a.O. &gt; Pakistan &gt; Staatsaufbau und Innenpolitik &gt; Aktuelle innenpolitische Lage / Gesellschaft / Menschenrechte [Stand: 5. März 2019]).</w:t>
      </w:r>
    </w:p>
    <w:p>
      <w:r>
        <w:rPr>
          <w:b/>
        </w:rPr>
        <w:t>E. 7.2</w:t>
      </w:r>
    </w:p>
    <w:p>
      <w:r>
        <w:t>Die oben beschriebene Situation im Herkunftsland des Gesuchstellers macht deutlich, dass viele Gründe für den Wunsch nach Emigration ins europäische Ausland verantwortlich sein können. Dennoch darf Personen, die mittels Schengen-Visum nach Europa reisen wollen, nicht generell ein fehlender Rückkehrwille unterstellt werden. Ihren sozialen Bindungen und Verpflichtungen muss angesichts der dortigen sozio-ökonomischen Verhältnisse allerdings erhebliches Gewicht zukommen, damit die anstandslose Wiederausreise als genügend wahrscheinlich gelten kann.</w:t>
      </w:r>
    </w:p>
    <w:p>
      <w:r>
        <w:rPr>
          <w:b/>
        </w:rPr>
        <w:t>E. 7.3</w:t>
      </w:r>
    </w:p>
    <w:p>
      <w:r>
        <w:t>Derartige Bindungen oder Verpflichtungen scheinen im Falle von X._______ jedoch nicht vorzuliegen. Dieser hat anlässlich seines Visumsgesuchs gegenüber der schweizerischen Auslandsvertretung erklärt, dass er seit 2004 in den VAE lebe und arbeite, während seine Ehefrau und seine sechs Kinder in Pakistan lebten. Dass er angesichts des zeitlich nur beschränkt möglichen Familienlebens Kontakt zu einem letztmals im Jahr 2003 getroffenen Freund aus Kindertagen sucht und diesen in der Schweiz besuchen will, erscheint nur dann begreiflich, wenn dieser Besuch - in der Hoffnung auf hiesige neue Lebensperspektiven - Vorwand für einen weiteren Verbleib ist. Der Aspekt, dass sich der ebenfalls aus Pakistan stammende Gastgeber in der Schweiz eine neue Existenz aufgebaut hat, könnte dabei auch für ihn eine Rolle spielen.</w:t>
      </w:r>
    </w:p>
    <w:p>
      <w:r>
        <w:rPr>
          <w:b/>
        </w:rPr>
        <w:t>E. 7.4</w:t>
      </w:r>
    </w:p>
    <w:p>
      <w:r>
        <w:t>Im Rechtsmittelverfahren beanstandet der Beschwerdeführer den vor-instanzlichen Visumsentscheid vor allem deshalb, weil aus seiner Sicht alles unternommen wurde, um die Voraussetzungen für die Einreise seines Gasts zu erfüllen. Ihm ist entgegenzuhalten, dass die getroffenen Besuchs- bzw. Reisevorbereitungen sowie die hinsichtlich der Wiederausreise beidseits erklärte Überzeugung nicht ausreichen. Ohnehin können Gastgeber nur für gewisse finanzielle Risiken im Zusammenhang mit einem Besuchsaufenthalt einstehen, nicht jedoch für die tatsächlichen Absichten und für ein bestimmtes Verhalten ihrer Gäste (vgl. BVGE 2009/27 E. 9).</w:t>
      </w:r>
    </w:p>
    <w:p>
      <w:r>
        <w:rPr>
          <w:b/>
        </w:rPr>
        <w:t>E. 7.5</w:t>
      </w:r>
    </w:p>
    <w:p>
      <w:r>
        <w:t>Hinzuzufügen ist, dass der Beschwerdeführer, welcher laut Angaben des Gesuchstellers die Kosten des Besuchs hätte tragen sollen, dazu kaum in der Lage wäre und die gegenüber dem Kanton Bern abgegebene Unterhaltsgarantie nicht einlösen könnte. Der kantonale Migrationsdienst hat sich daher unter Hinweis auf die negative Solvenz des Gastgebers (keine Ersparnisse, ausstehende Steuern, offene Sozialgelder) gegen die Visumserteilung ausgesprochen. Damit fehlt eine weitere der im nationalen und im Schengen-Recht definierten Einreisevoraussetzungen (vgl. E. 4).</w:t>
      </w:r>
    </w:p>
    <w:p>
      <w:r>
        <w:rPr>
          <w:b/>
        </w:rPr>
        <w:t>E. 8</w:t>
      </w:r>
    </w:p>
    <w:p>
      <w:r>
        <w:t>Nach alledem ist der angefochtene Einspracheentscheid als rechtmässig zu bestätigen (vgl. Art. 49 VwVG) und die Beschwerde abzuweisen.</w:t>
      </w:r>
    </w:p>
    <w:p>
      <w:r>
        <w:rPr>
          <w:b/>
        </w:rPr>
        <w:t>E. 9</w:t>
      </w:r>
    </w:p>
    <w:p>
      <w:r>
        <w:t>Bei diesem Ausgang des Verfahrens sind dessen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