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F-2858/2019 vom 17. Juni 2019</w:t>
      </w:r>
    </w:p>
    <w:p>
      <w:r>
        <w:t>Bundesverwaltungsgericht, 2019-06-17, DE</w:t>
      </w:r>
    </w:p>
    <w:p>
      <w:r>
        <w:rPr>
          <w:b/>
        </w:rPr>
        <w:t xml:space="preserve">Quelle: </w:t>
      </w:r>
      <w:r>
        <w:t>https://mcp.opencaselaw.ch/entscheid/bvger_F-2858_2019</w:t>
      </w:r>
    </w:p>
    <w:p>
      <w:r>
        <w:t>FR: TAF F-2858/2019 du 17 juin 2019</w:t>
      </w:r>
    </w:p>
    <w:p>
      <w:r>
        <w:t>IT: TAF F-2858/2019 del 17 giugno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Behandlung von Beschwerden gegen Verfügungen des SEM (Art. 31 und 33 Bst. d VGG). Auf dem Gebiet des Asyls entscheidet es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streitige Verfügung datiert vom 29. Mai 2019. Im Zeitpunkt des Inkrafttretens der Änderung des AsylG vom 25. September 2015 (AS 2016 3101) am 1. März 2019 (vgl. AS 2018 2855) war das Verfahren vor der Vorinstanz hängig. Für das vorliegende Verfahren gilt somit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(aArt. 108 Abs. 2 AsylG [AS 2012 5359 und AS 2015 2047];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auf einen Schriftenwechsel zu verzichten und der Beschwerdeentscheid nur summarisch zu begründen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Den Akten ist zu entnehmen, dass sich die Beschwerdeführerin vor ihrer Einreise in die Schweiz in Dänemark aufgehalten hatte (gemäss ihren eigenen Angaben von Ende August 2017 bis anfangs Februar 2019). Das SEM ersuchte die dänischen Behörden am 3. April 2019 um Aufnahme der Beschwerdeführerin gestützt auf Art. 13 Abs. 2 Dublin-III-VO. Die dänischen Behörden stimmten dem Gesuch um Übernahme am 28. Mai 2019 zu.</w:t>
      </w:r>
    </w:p>
    <w:p>
      <w:r>
        <w:rPr>
          <w:b/>
        </w:rPr>
        <w:t>E. 5.2</w:t>
      </w:r>
    </w:p>
    <w:p>
      <w:r>
        <w:t>Die grundsätzliche Zuständigkeit Dänemarks für die Behandlung des Asylgesuchs der Beschwerdeführerin ist somit gegeben. Die Tatsache, dass sie in Dänemark bisher kein Asylgesuch eingereicht hat, vermag daran nichts zu ändern. Nach einer allfälligen Rückführung hat sie dort die Möglichkeit, ein Asylgesuch einzureichen. Es obliegt sodann den dänischen Behörden, das Asylgesuch zu prüfen und anschliessend ihren Aufenthaltsstatus zu regeln oder gegebenenfalls die Wegweisung in ihr Heimatland anzuordnen.</w:t>
      </w:r>
    </w:p>
    <w:p>
      <w:r>
        <w:rPr>
          <w:b/>
        </w:rPr>
        <w:t>E. 6.1</w:t>
      </w:r>
    </w:p>
    <w:p>
      <w:r>
        <w:t>Die Beschwerdeführerin macht im Wesentlichen geltend, ihr zweiter Ehemann habe sie verstossen. In Dänemark befürchte sie eine Rückführung nach Somalia, wo Krieg herrsche und sich ihr erster Ehemann befinde, der sie töten wolle.</w:t>
      </w:r>
    </w:p>
    <w:p>
      <w:r>
        <w:rPr>
          <w:b/>
        </w:rPr>
        <w:t>E. 6.2</w:t>
      </w:r>
    </w:p>
    <w:p>
      <w:r>
        <w:t>Im Lichte von Art. 3 Abs. 2 Dublin-III-VO ist zu prüfen, ob es wesentliche Gründe für die Annahme gibt, das Asylverfahren und die Aufnahmebedingungen für Asylsuchende in Dänemark würden systemische Schwachstellen aufweisen, die eine Gefahr einer unmenschlichen oder entwürdigenden Behandlung im Sinne des Artikels 4 der EU-Grundrechtecharta mit sich bringen würden. Dänemark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7.1</w:t>
      </w:r>
    </w:p>
    <w:p>
      <w:r>
        <w:t>Die Beschwerdeführerin fordert mit ihrem Vorbringen, Dänemark würde ihr keinen Schutz garantieren,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7.2</w:t>
      </w:r>
    </w:p>
    <w:p>
      <w:r>
        <w:t>Gemäss Praxis des Bundesverwaltungsgerichts verfügt das SEM bei der Anwendung der Kann-Bestimmung von Art. 29a Abs. 3 AsylV1 über einen Ermessensspielraum (vgl. BVGE 2015/9 E. 7 f.). Dabei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7.3</w:t>
      </w:r>
    </w:p>
    <w:p>
      <w:r>
        <w:t>Die Beschwerdeführerin hat kein konkretes und ernsthaftes Risiko dargetan, die dänischen Behörden würden sich weigern, sie aufzunehmen und ihren Antrag auf internationalen Schutz unter Einhaltung der Regeln der Verfahrensrichtlinie zu prüfen. Den Akten sind denn auch keine Gründe für die Annahme zu entnehmen, Dänemark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bei einer Rückführung zu erwartenden Bedingungen in Dänemark seien derart schlecht, dass sie zu einer Verletzung von Art. 4 der EU-Grundrechtecharta, Art. 3 EMRK oder Art. 3 FoK führen könnten. Die Beschwerdeführerin hat auch keine konkreten Hinweise für die Annahme dargetan, Dänemark würde ihr dauerhaft die ihr gemäss Aufnahmerichtlinie zustehenden minimalen Lebensbedingungen vorenthalten. Bei einer allfälligen vorübergehenden Einschränkung könnte sie sich im Übrigen nötigenfalls an die dänischen Behörden wenden und die ihr zustehenden Aufnahmebedingungen auf dem Rechtsweg einfordern (vgl. Art. 26 Aufnahmerichtlinie).</w:t>
      </w:r>
    </w:p>
    <w:p>
      <w:r>
        <w:rPr>
          <w:b/>
        </w:rPr>
        <w:t>E. 7.4</w:t>
      </w:r>
    </w:p>
    <w:p>
      <w:r>
        <w:t>In ihrer Rechtsmitteleingabe macht die Beschwerdeführerin keine gesundheitlichen Probleme mehr geltend. In Bezug auf die von ihr anlässlich der Befragung vom 20. Februar 2019 vorgebrachten Probleme (Asthma) und den Arztbesuch vom 28. Februar 2019 kann auf die zutreffenden Erwägungen der Vorinstanz verwiesen werden. Einerseits ist im Rahmen des Dublin-Systems davon auszugehen, dass der zuständige Dublin-Staat angemessene medizinische Versorgungsleistungen erbringen kann und den Zugang zu notwendiger medizinischer Behandlung gewährleistet, wobei keine Hinweise vorliegen, wonach Dänemark der Beschwerdeführerin eine allfällige medizinische Behandlung verweigert hätte oder zukünftig verweigern würde. Anderseits ist für das weitere Dublin-Verfahren einzig die Reisefähigkeit ausschlaggebend. Diese wird erst kurz vor der Überstellung definitiv beurteilt. Zudem trägt die Vorinstanz ihrem aktuellen Gesundheitszustand bei der Überstellung nach Dänemark Rechnung, indem es die dänischen Behörden im Sinne von Art. 31 und Art. 32 Dublin-III-VO vor der Überstellung über ihren Gesundheitszustand und die notwendige medizinische Behandlung informiert.</w:t>
      </w:r>
    </w:p>
    <w:p>
      <w:r>
        <w:rPr>
          <w:b/>
        </w:rPr>
        <w:t>E. 7.5</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7.6</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 Somit bleibt Dänemark der für die Behandlung des Asylgesuchs der Beschwerdeführerin zuständige Mitgliedstaat gemäss Dublin-III-VO. Dänemark ist verpflichtet, das Asylverfahren gemäss Art. 21, 22 und 29 aufzunehmen.</w:t>
      </w:r>
    </w:p>
    <w:p>
      <w:r>
        <w:rPr>
          <w:b/>
        </w:rPr>
        <w:t>E. 8</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Dänemark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 Mit dem vorliegenden Urteil fällt der am 12. Juni 2019 angeordnete Vollzugsstopp dahin.</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