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F-2855/2026 vom 29. April 2026</w:t>
      </w:r>
    </w:p>
    <w:p>
      <w:r>
        <w:t>Bundesverwaltungsgericht, 2026-04-29, DE</w:t>
      </w:r>
    </w:p>
    <w:p>
      <w:r>
        <w:rPr>
          <w:b/>
        </w:rPr>
        <w:t xml:space="preserve">Quelle: </w:t>
      </w:r>
      <w:r>
        <w:t>https://mcp.opencaselaw.ch/entscheid/bvger_F-2855_2026</w:t>
      </w:r>
    </w:p>
    <w:p>
      <w:r>
        <w:t>FR: TAF F-2855/2026 du 29 avril 2026</w:t>
      </w:r>
    </w:p>
    <w:p>
      <w:r>
        <w:t>IT: TAF F-2855/2026 del 29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zur Beurteilung von Beschwerden auf dem Gebiet des Asyls zuständig (Art. 105 AsylG [SR 142.31]; Art. 31 ff. VGG). Der Beschwerdeführer ist zur Einreichung der Beschwerde legitimiert (Art. 105 AsylG und Art. 48 Abs. 1 VwVG). Die Beschwerde ist zwar nicht in einer Amtssprache des Bundes abgefasst, vorliegend kann aber aus prozessökonomischen Gründen auf eine Rückweisung zur Verbesserung beziehungsweise auf die Einholung einer Übersetzung verzichtet werden. Auf die Beschwerde ist somit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Die Vorinstanz hat korrekt erwogen, dass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(vgl. statt vieler: Urteil des BVGer F-1810/2026 vom 24. März 2026 E. 4.2), und dass vorliegend keine völkerrechtlichen Vollzugshindernisse ersichtlich sind, welche die Schweiz zu einem Selbsteintritt nach Art. 17 Abs. 1 Dublin-III-VO verpflichten würden. Dabei hat die Vorinstanz insbesondere den gesundheitlichen Zustand des Beschwerdeführers rechtsgenüglich abgeklärt und seine vorgebrachten Beschwerden (Aufzählung gesundheitliche Beschwerden) angemessen berücksichtigt. Sie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w:t>
      </w:r>
    </w:p>
    <w:p>
      <w:r>
        <w:rPr>
          <w:b/>
        </w:rPr>
        <w:t>E. 2.2</w:t>
      </w:r>
    </w:p>
    <w:p>
      <w:r>
        <w:t>Die vom Beschwerdeführer auf Beschwerdeebene nicht weiter substantiierten Vorbringen zu den geltend gemachten (gesundheitliche Beschwerde) vermögen an der Richtigkeit der angefochtenen Verfügung nichts zu ändern. In antizipierter Beweiswürdigung ist nicht von einem gravierenden Leiden auszugehen, um gestützt auf Art. 3 EMRK von einer Überstellung nach Deutschland absehen zu müssen (vgl. dazu Urteile des EGMR Paposhvili gegen Belgien vom 13. Dezember 2016, Grosse Kammer, 41738/10, §§ 180-193 m.w.H., bestätigt durch Savran gegen Dänemark vom 7. Dezember 2021, Grosse Kammer, 57467/15, §§ 121 ff.; zur Zulässigkeit der antizipierten Beweiswürdigung siehe BGE 141 I 60 E. 3.3). Darüber hinaus ist die Gewährleistung einer allenfalls notwendigen medizinischen Behandlung in Deutschland auch nach Ablehnung eines Asylgesuchs sichergestellt (Art. 14 der Richtlinie 2008/115/EG des Europäischen Parlaments und des Rates vom 16. Dezember 2008 über gemeinsame Normen und Verfahren in den Mitgliedstaaten zur Rückführung illegal aufhältiger Drittstaatangehörige [Rückführungsrichtlinie]). In Bezug auf das Argument des Beschwerdeführers, ihm drohe in Deutschland Haft, bleibt festzuhalten, dass eine rechtmässige Inhaftierung zum Zweck des Wegweisungsvollzugs grundsätzlich zulässig ist (vgl. Art. 15 Rückführungsrichtlinie). Zudem steht es dem Beschwerdeführer frei, die Rechtmässigkeit einer allfälligen Haftanordnung gerichtlich überprüfen zu lassen (Art. 15 Abs. 2 und 3 Rückführungsrichtlinie; Art. 5 Abs. 4 EMRK). Die Ausführungen zur angeblich in Italien erlebten Gewalt erweisen sich ferner als unerheblich, da sie kein konkretes, überstellungsrelevantes Hindernis für die Überstellung nach Deutschland darstellen. Im Übrigen gilt, dass weder die Dublin-III-VO noch andere völkerrechtliche Bestimmungen den Gesuchstellenden ein Recht einräumen, den für die Durchführung des Asylverfahrens zuständigen Staat selbst frei zu wählen (BVGE 2010/45 E. 8.3).</w:t>
      </w:r>
    </w:p>
    <w:p>
      <w:r>
        <w:rPr>
          <w:b/>
        </w:rPr>
        <w:t>E. 2.3</w:t>
      </w:r>
    </w:p>
    <w:p>
      <w:r>
        <w:t>Vor diesem Hintergrund lässt die Prüfung der angefochtenen Verfügung keine Verletzung des Untersuchungsgrundsatzes erkennen (vgl. zum Ganzen statt vieler Urteil des BVGer F-4274/2023 vom 13. März 2024 E. 3; BGE 140 I 285 E. 6.3.1). Der Eventualantrag auf Rückweisung der Sache an die Vorinstanz ist damit abzuweisen.</w:t>
      </w:r>
    </w:p>
    <w:p>
      <w:r>
        <w:rPr>
          <w:b/>
        </w:rPr>
        <w:t>E. 3</w:t>
      </w:r>
    </w:p>
    <w:p>
      <w:r>
        <w:t>Im Ergebnis ist die angefochtene Verfügung nicht zu beanstanden (Art. 106 AsylG) und die Beschwerde ist abzuweisen. Mit dem vorliegenden Urteil fällt der am 23. April 2026 angeordnete Vollzugsstopp dahin und der Antrag auf Erteilung der aufschiebenden Wirkung wird gegenstandslos.</w:t>
      </w:r>
    </w:p>
    <w:p>
      <w:r>
        <w:rPr>
          <w:b/>
        </w:rPr>
        <w:t>E. 4</w:t>
      </w:r>
    </w:p>
    <w:p>
      <w:r>
        <w:t>Das Gesuch um Gewährung der unentgeltlichen Prozessführung und Verbeiständung ist abzuweisen, da die Beschwerde gemäss den vorstehenden Erwägungen als aussichtslos zu bezeichnen war (Art. 65 Abs. 1 und 2 VwVG). 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