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F-283/2023 vom 8. Februar 2024</w:t>
      </w:r>
    </w:p>
    <w:p>
      <w:r>
        <w:t>Bundesverwaltungsgericht, 2024-02-08, DE</w:t>
      </w:r>
    </w:p>
    <w:p>
      <w:r>
        <w:rPr>
          <w:b/>
        </w:rPr>
        <w:t xml:space="preserve">Quelle: </w:t>
      </w:r>
      <w:r>
        <w:t>https://mcp.opencaselaw.ch/entscheid/bvger_F-283_2023</w:t>
      </w:r>
    </w:p>
    <w:p>
      <w:r>
        <w:t>FR: TAF F-283/2023 du 8 février 2024</w:t>
      </w:r>
    </w:p>
    <w:p>
      <w:r>
        <w:t>IT: TAF F-283/2023 del 8 febbraio 2024</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Gemäss Art. 48 Abs. 1 VwVG ist zur Erhebung einer Beschwerde be- rechtigt, wer am Verfahren vor der Vorinstanz teilgenommen hat, durch die angefochtene Verfügung besonders berührt ist und ein schutzwürdiges In- teresse an deren Aufhebung oder Änderung hat. Am 23. Januar 2023 löschte die Vorinstanz aufgrund der gültigen Aufent- haltsbewilligung des Beschwerdeführers von Ungarn die Ausschreibung des Einreiseverbots im SIS II. Somit richtet sich die hier zu beurteilende Beschwerde nur noch gegen das nationale Einreiseverbot für die Schweiz und das Fürstentum Liechtenstein, an welcher der Beschwerdeführer wei- terhin ein aktuelles Rechtsschutzinteresse hat. Für den Subeventualan- trag, die Ausschreibung im SIS II sei aufzuheben, besteht hingegen seit dem 24. Januar 2023 kein Rechtsschutzinteresse mehr. Auf die frist- und formgerecht eingereichte Beschwerde ist deshalb einzutreten (Art. 50 Abs. 1 VwVG; Art. 52 Abs. 1 VwVG), soweit sie nicht als gegenstandslos geworden abzuschreiben ist (vgl. BGE 136 III 497 E. 2.1 m.H.; MOSER/ BEUSCH/KNEUBÜHLER/KAYSER, Prozessieren vor dem Bundesverwaltungs- gericht, 3. Aufl. 2022, Rz. 2.70 m.H.).</w:t>
      </w:r>
    </w:p>
    <w:p>
      <w:r>
        <w:t>F-283/2023 Seite 5</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Das SEM verfügt ein Einreiseverbot gegenüber weggewiesenen Aus- länderinnen und Ausländern, wenn sie gegen die öffentliche Sicherheit und Ordnung in der Schweiz oder im Ausland verstossen haben oder diese gefährden (Art. 67 Abs. 1 Bst. c AIG); und/oder wenn sie bestraft worden sind, weil sie u.a. Handlungen im Sinne von Art. 115 Abs. 1 AIG begangen haben oder weil sie versucht haben, solche Handlungen zu begehen (vgl. Art. 67 Abs. 1 Bst. d AIG).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Nach den Strafbe- stimmungen des AIG wird mit Freiheitsstrafe bis zu einem Jahr oder Geldstrafe bestraft, wer eine nicht bewilligte Erwerbstätigkeit ausübt (Art. 115 Abs. 1 Bst. c AIG).</w:t>
      </w:r>
    </w:p>
    <w:p>
      <w:r>
        <w:rPr>
          <w:b/>
        </w:rPr>
        <w:t>E. 3.2</w:t>
      </w:r>
    </w:p>
    <w:p>
      <w:r>
        <w:t>Das Einreiseverbot wird grundsätzlich für eine Dauer von höchstens fünf Jahren verfügt (Art. 67 Abs. 3 erster Satz AIG). Es kann für eine länge- re Dauer verfügt werden, wenn die betroffene Person eine schwerwie- gende Gefahr für die öffentliche Sicherheit und Ordnung darstellt (Art. 67 Abs. 3 zweiter Satz AIG).</w:t>
      </w:r>
    </w:p>
    <w:p>
      <w:r>
        <w:t>F-283/2023 Seite 6</w:t>
      </w:r>
    </w:p>
    <w:p>
      <w:r>
        <w:rPr>
          <w:b/>
        </w:rPr>
        <w:t>E. 3.3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3.4</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 lichen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 UHLMANN, Allgemeines Verwaltungsrecht, 8. Aufl. 2020, Rz. 555 ff.).</w:t>
      </w:r>
    </w:p>
    <w:p>
      <w:r>
        <w:rPr>
          <w:b/>
        </w:rPr>
        <w:t>E. 4</w:t>
      </w:r>
    </w:p>
    <w:p>
      <w:r>
        <w:t>Streitig und nach der Aufhebung der SIS-II-Ausschreibung durch die Vor- instanz am 23. Januar 2023 zu prüfen bleibt das bis am 18. Dezember 2024 geltende zweijährige nationale Einreiseverbot.</w:t>
      </w:r>
    </w:p>
    <w:p>
      <w:r>
        <w:rPr>
          <w:b/>
        </w:rPr>
        <w:t>E. 4.1</w:t>
      </w:r>
    </w:p>
    <w:p>
      <w:r>
        <w:t>Die Vorinstanz begründet das Einreiseverbot damit, dass der Be- schwerdeführer in der Schweiz erwerbstätig gewesen sei, ohne über die erforderliche ausländerrechtliche Bewilligung zu verfügen. Dies stelle einen Verstoss gegen die Einreisevoraussetzungen des Ausländerrechts dar, womit auch gegen die öffentliche Sicherheit und Ordnung verstossen worden sei. Die Verfügung einer Fernhaltemassnahme zum Schutz der öffentlichen Sicherheit und Ordnung sei unabhängig von einem allfälligen Strafverfahren angezeigt. Auch in Berücksichtigung der Stellungnahme im Rahmen des rechtlichen Gehörs sei die vorliegende Fernhaltemassnahme verhältnismässig und gerechtfertigt.</w:t>
      </w:r>
    </w:p>
    <w:p>
      <w:r>
        <w:rPr>
          <w:b/>
        </w:rPr>
        <w:t>E. 4.2</w:t>
      </w:r>
    </w:p>
    <w:p>
      <w:r>
        <w:t>Der Beschwerdeführer bestreitet, gegen die Bestimmungen des AIG verstossen zu haben. Falls trotzdem ein Verstoss vorliegen sollte, sei die- ser unbedacht und ohne Vorsatz erfolgt. Er sei als Lieferwagenfahrer in Ungarn tätig mit Einsatzgebiet Ungarn und der Europäischen Union und wohne in Ungarn, wo er über eine Aufenthaltsbewilligung verfüge. Er kenne den Geschäftsführer der B.______ und seine Familie seit langer Zeit und</w:t>
      </w:r>
    </w:p>
    <w:p>
      <w:r>
        <w:t>F-283/2023 Seite 7 stamme aus demselben Dorf in Montenegro. Wenn er Zeit und Gelegenheit gehabt habe, habe er ihn privat zuhause oder im Geschäft in (…) besucht. Da er ihn gut kenne, habe er auch gerne bei der Arbeit (unentgeltlich) ge- holfen. Diese Gefälligkeiten seien von der Polizei als Erwerbstätigkeit be- trachtet worden. Es sei indes nicht seine Absicht gewesen, gegen die Be- stimmungen zu verstossen. Er bedaure die verursachten Umstände sehr. Die Vorinstanz habe jedoch Bundesrecht verletzt, indem sie nicht berück- sichtigt habe, dass er mit einer Aufenthaltsbewilligung in einem Schengen- Staat als Drittstaatsangehöriger das Recht auf freien Personenverkehr ge- niesse. Zudem habe er die Schweiz unverzüglich nach der Wegweisung verlassen. Die Voraussetzungen für den Erlass eines Einreiseverbots ge- mäss Art. 67 Abs. 1 Bst. c und d AIG seien nicht gegeben.</w:t>
      </w:r>
    </w:p>
    <w:p>
      <w:r>
        <w:rPr>
          <w:b/>
        </w:rPr>
        <w:t>E. 4.3</w:t>
      </w:r>
    </w:p>
    <w:p>
      <w:r>
        <w:t>In der Vernehmlassung vom 6. April 2023 führt die Vorinstanz aus, auf- grund seiner ungarischen Aufenthaltsbewilligung könne der Beschwerde- führer sich auf die Reisefreiheit innerhalb des Hoheitsgebiets der Schen- gen-Mitgliedstaaten berufen. Die Fernhaltemassnahme gelte seit dem 23. Januar 2023 nur noch für die Schweiz und das Fürstentum Liechten- stein. Hingegen vermöchten die persönlichen Interessen des Beschwerde- führers den Entscheid hinsichtlich des nationalen Einreiseverbots nicht zu ändern.</w:t>
      </w:r>
    </w:p>
    <w:p>
      <w:r>
        <w:rPr>
          <w:b/>
        </w:rPr>
        <w:t>E. 5.1</w:t>
      </w:r>
    </w:p>
    <w:p>
      <w:r>
        <w:t>Der Beschwerdeführer verfügte gemäss den Akten über eine unga- rische Aufenthaltsbewilligung, welche bis am 31. Juni 2023 gültig war. Folg- lich war er jedenfalls bis zu diesem Zeitpunkt grundsätzlich befugt, in die Schweiz einzureisen. Der Vollständigkeit halber ist darauf hinzuweisen, dass die Einreise eines Drittstaatsangehörigen zum Zweck der Aufnahme einer Erwerbstätigkeit rechtswidrig ist, falls eine Bewilligung zur Ausübung der Erwerbstätigkeit nicht schon vorgängig eingeholt wurde. Das streitige Einreiseverbot gründet indessen nicht auf einer illegalen Einreise oder einem illegalen Aufenthalt, sondern auf der illegalen Erwerbstätigkeit in der Schweiz. Hier zu beurteilen ist demnach, ob der Beschwerdeführer eine Tätigkeit ausgeübt hat, die nach den Kriterien der ausländerrechtlichen Rechtsprechung als Erwerbstätigkeit zu qualifizieren ist, für die eine Be- willigungspflicht besteht.</w:t>
      </w:r>
    </w:p>
    <w:p>
      <w:r>
        <w:rPr>
          <w:b/>
        </w:rPr>
        <w:t>E. 5.2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w:t>
      </w:r>
    </w:p>
    <w:p>
      <w:r>
        <w:t>F-283/2023 Seite 8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EGLI/MEYER, Handkommentar zum Bundesgesetz über die Ausländerinnen und Ausländer, 2010, Art. 11 N. 6). Ohne Belang für die Qualifikation als Erwerbstätigkeit ist dabei, ob die Beschäftigung nur stun- den- oder tageweise oder vorübergehend ausgeübt wird (vgl. Art. 1a und 2 VZAE).</w:t>
      </w:r>
    </w:p>
    <w:p>
      <w:r>
        <w:rPr>
          <w:b/>
        </w:rPr>
        <w:t>E. 5.3</w:t>
      </w:r>
    </w:p>
    <w:p>
      <w:r>
        <w:t>Aus dem Strafbefehl der Staatsanwaltschaft (…) vom 19. Dezember 2022 (vgl. Beschwerdeakte 6 Beil. 2) geht hervor, der Beschwerdeführer habe zumindest am 4. Oktober 2022 und am 8. Dezember 2022 in der Autogarage B.______ in (…) gearbeitet, indem er Reparaturarbeiten an Fahrzeugen vorgenommen habe – angeblich unentgeltlich. Diese Tätigkeit werde üblicherweise gegen Entgelt ausgeübt und sei als bewilligungs- pflichtige Erwerbstätigkeit zu betrachten, was der Beschwerdeführer auch hätte wissen müssen. Diese Argumentation liegt auch dem Wegweisungs- entscheid vom 19. Dezember 2022 des kantonalen Migrationsamts (SEM- Akte 1) zugrunde.</w:t>
      </w:r>
    </w:p>
    <w:p>
      <w:r>
        <w:rPr>
          <w:b/>
        </w:rPr>
        <w:t>E. 5.4</w:t>
      </w:r>
    </w:p>
    <w:p>
      <w:r>
        <w:t>Fahrzeugreparaturen in einem Autogaragengeschäft werden auf dem schweizerischen Arbeits- und Dienstleistungsmarkt üblicherweise gegen Entgelt vorgenommen. Eine solche Tätigkeit ist deshalb zweifellos als Erwerbstätigkeit im Sinne von Art. 11 Abs. 2 AIG (oben E. 5.2) zu qualifi- zieren und ist demzufolge bewilligungspflichtig. Der Beschwerdeführer räumt selbst ein, seinem Jugendfreund in dessen Autogarage jedenfalls tage- oder stundenweise bei Reparaturen geholfen zu haben. Er hätte dafür als ausländische Person jedoch eine Bewilligung einholen müssen. Nicht massgebend ist, ob er für seine «Gefälligkeiten» – wie er in der Be- schwerde angab – finanziell entschädigt wurde oder nicht. Dass er angeb- lich nicht wusste, sich damit strafbar zu machen, ändert daran nichts.</w:t>
      </w:r>
    </w:p>
    <w:p>
      <w:r>
        <w:rPr>
          <w:b/>
        </w:rPr>
        <w:t>E. 5.5</w:t>
      </w:r>
    </w:p>
    <w:p>
      <w:r>
        <w:t>Zusammenfassend ist festzuhalten, dass der Beschwerdeführer im be- schriebenen Umfang einer nicht bewilligten Erwerbstätigkeit im Sinne von Art. 11 Abs. 2 AIG nachgegangen ist und dafür mit rechtskräftigem Straf- befehl vom 19. Dezember 2022 gemäss Art. 115 Abs. 1 Bst. c AIG bestraft wurde. Indem er diese Tätigkeit ohne die erforderliche Bewilligung ausübte, hat er gegen die öffentliche Sicherheit und Ordnung verstossen oder diese</w:t>
      </w:r>
    </w:p>
    <w:p>
      <w:r>
        <w:t>F-283/2023 Seite 9 zumindest gefährdet. Die Tatbestände von Art. 67 Abs. 1 Bst. c und d AIG sind erfüllt, weshalb die Voraussetzungen für den Erlass eines Einreisever- bots gegeben sind.</w:t>
      </w:r>
    </w:p>
    <w:p>
      <w:r>
        <w:rPr>
          <w:b/>
        </w:rPr>
        <w:t>E. 6</w:t>
      </w:r>
    </w:p>
    <w:p>
      <w:r>
        <w:t>Zu prüfen bleibt die Verhältnismässigkeit der Massnahme (vgl. E. 3.4).</w:t>
      </w:r>
    </w:p>
    <w:p>
      <w:r>
        <w:rPr>
          <w:b/>
        </w:rPr>
        <w:t>E. 6.1</w:t>
      </w:r>
    </w:p>
    <w:p>
      <w:r>
        <w:t>Der Beschwerdeführer bestreitet, dass von ihm eine Gefahr für künftige Störungen der öffentlichen Sicherheit und Ordnung ausgehe. Diesbezüg- lich ist darauf hinzuweisen, dass die Anordnung des Einreiseverbots be- reits aus spezialpräventiven Gründen angezeigt ist, um ihn bei künftigen Aufenthalten in der Schweiz von der erneuten Gefährdung der öffentlichen Sicherheit und Ordnung abzuhalten. Darüber hinaus kann sich der Be- schwerdeführer als Drittstaatsangehöriger – anders als Staatsangehörige einer Vertragspartei des Freizügigkeitsabkommens (FZA, SR 0.142.112.681) – nicht darauf berufen, es komme in erster Linie auf die Rückfallgefahr an (vgl. BGE 139 II 121 E. 6.1; 136 II 5 E. 4.2; BVGE 2017 VII/2 E. 4.4). Zu berücksichtigen ist zudem das generalpräventiv motivierte Interesse, die öffentliche Ordnung durch eine konsequente Massnahmen- praxis zu schützen (vgl. Urteil des BGer 2C_282/2012 vom 31. Juli 2012 E. 2.5 m.H.). So soll ein Einreiseverbot angesichts der negativen Folgen andere ausländische Personen dazu anhalten, sich an die ausländerrecht- liche Ordnung des Gastlandes zu halten. Es besteht demnach ein general- und spezialpräventiv motiviertes Interesse an der Fernhaltung des Be- schwerdeführers.</w:t>
      </w:r>
    </w:p>
    <w:p>
      <w:r>
        <w:rPr>
          <w:b/>
        </w:rPr>
        <w:t>E. 6.2.1</w:t>
      </w:r>
    </w:p>
    <w:p>
      <w:r>
        <w:t>Den öffentlichen Fernhalteinteressen sind die privaten Interessen des Beschwerdeführers entgegenzuhalten. Er machte geltend, er kenne den Geschäftsführer der B._______ und seine Familie seit langer Zeit aus seinem Herkunftsdorf. Er habe ihn jeweils besucht, wenn er Zeit und Gele- genheit hatte, und ihm dabei auch bei der Arbeit geholfen. Darüber hinaus äussert er sich im Wesentlichen dazu, dass er wegen seines Berufs als Lieferwagenfahrer bei einem Unternehmen in Ungarn darauf angewiesen sei, weiter im Schengen-Raum reisen zu können.</w:t>
      </w:r>
    </w:p>
    <w:p>
      <w:r>
        <w:rPr>
          <w:b/>
        </w:rPr>
        <w:t>E. 6.2.2</w:t>
      </w:r>
    </w:p>
    <w:p>
      <w:r>
        <w:t>Gemäss den Akten hat er im Herbst 2023 in Montenegro geheiratet. Seine Ehefrau, die slowenische Staatsangehörige ist, und ihr Sohn verfü- gen über eine Aufenthaltsbewilligung B EU/EFTA in der Schweiz. Der Be- schwerdeführer hat denn auch bei der Vorinstanz mit Verweis auf die Ehe- schliessung und das in der Zwischenzeit von seiner Ehefrau gestellte</w:t>
      </w:r>
    </w:p>
    <w:p>
      <w:r>
        <w:t>F-283/2023 Seite 10 Gesuch um Familiennachzug beantragt, das Einreiseverbot sei aufzuhe- ben bzw. zu kürzen, oder allenfalls zu suspendieren, damit er seine Ehe- frau und seinen Stiefsohn in der Schweiz besuchen könne.</w:t>
      </w:r>
    </w:p>
    <w:p>
      <w:r>
        <w:rPr>
          <w:b/>
        </w:rPr>
        <w:t>E. 6.3</w:t>
      </w:r>
    </w:p>
    <w:p>
      <w:r>
        <w:t>Das Fehlverhalten des Beschwerdeführers wiegt objektiv nicht leicht, kommt doch den ausländerrechtlichen Normen im Interesse einer funktio- nierenden Rechtsordnung eine zentrale Bedeutung zu (siehe oben E. 6.1). Zur neu geschlossenen Ehe des Beschwerdeführers ist – mit Ausnahme des dem SEM am 4. Dezember 2023 eingereichten Antrags mit Beilagen – nichts bekannt. Das Paar hat im Heimatland des Beschwerdeführers Mon- tenegro geheiratet, wo er zur Zeit auch wohnt. Wie die Vorinstanz in ihrem Schreiben vom 13. Dezember 2023 zu Recht ausführte, rechtfertigt eine Eheschliessung alleine grundsätzlich nicht, eine bestehende Fernhalte- massnahme vorzeitig aufzuheben (vgl. BGE 139 I 330 E. 2.1 f. m.w.H.), wurde doch bisher von der zuständigen Migrationsbehörde kein Antrag auf vorzeitige Aufhebung der Massnahme zwecks Erteilung einer Aufenthalts- bewilligung eingereicht.</w:t>
      </w:r>
    </w:p>
    <w:p>
      <w:r>
        <w:rPr>
          <w:b/>
        </w:rPr>
        <w:t>E. 6.4</w:t>
      </w:r>
    </w:p>
    <w:p>
      <w:r>
        <w:t>Zusammenfassend vermag das private Interesse des Beschwerdefüh- rers, ungehindert in die Schweiz einzureisen, das öffentliche Interesse am Schutz der öffentlichen Sicherheit nicht zu überwiegen. Die Dauer des Ein- reiseverbots von zwei Jahren erweist sich in einer Gesamtbetrachtung und unter Berücksichtigung der Praxis des Bundesverwaltungsgerichts in ähn- lichen Fällen als verhältnismässig (vgl. Urteile des BVGer F-295/2023 vom 23. Oktober 2023; F-5683/2021 vom 3. April 2023; F-1764/2021 vom 15. November 2021; F-5785/2019 vom 30. April 2020).</w:t>
      </w:r>
    </w:p>
    <w:p>
      <w:r>
        <w:rPr>
          <w:b/>
        </w:rPr>
        <w:t>E. 6.5</w:t>
      </w:r>
    </w:p>
    <w:p>
      <w:r>
        <w:t>Soweit der Beschwerdeführer eventualiter beantragt, es sei ausnahms- weise aus wichtigen Gründen von der Verhängung des Einreiseverbots ab- zusehen respektive ausnahmsweise sei dieses aus wichtigen Gründen endgültig aufzuheben, hat er nicht begründet, inwiefern solche Gründe (vgl. Art. 67 Abs. 5 AIG) vorliegen sollten. Auf die Eventualanträge ist dem- nach nicht weiter einzugehen.</w:t>
      </w:r>
    </w:p>
    <w:p>
      <w:r>
        <w:rPr>
          <w:b/>
        </w:rPr>
        <w:t>E. 7</w:t>
      </w:r>
    </w:p>
    <w:p>
      <w:r>
        <w:t>Zusammenfassend ist die angefochtene Verfügung hinsichtlich des ange- ordneten nationalen zweijährigen Einreiseverbots im Lichte von Art. 49 VwVG nicht zu beanstanden. Die Beschwerde ist dahingehend abzuwei- sen. Der Subeventualantrag hinsichtlich der am 23. Januar 2023 aufgeho- benen SIS-II-Ausschreibung ist gegenstandslos geworden.</w:t>
      </w:r>
    </w:p>
    <w:p>
      <w:r>
        <w:t>F-283/2023 Seite 11</w:t>
      </w:r>
    </w:p>
    <w:p>
      <w:r>
        <w:rPr>
          <w:b/>
        </w:rPr>
        <w:t>E. 8</w:t>
      </w:r>
    </w:p>
    <w:p>
      <w:r>
        <w:t>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Sie sind durch den in gleicher Höhe geleisteten Kostenvorschuss gedeckt.</w:t>
      </w:r>
    </w:p>
    <w:p>
      <w:r>
        <w:t>(Dispositiv: siehe nächste Seite)</w:t>
      </w:r>
    </w:p>
    <w:p>
      <w:r>
        <w:t>F-283/2023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