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F-282/2020 vom 23. Januar 2020</w:t>
      </w:r>
    </w:p>
    <w:p>
      <w:r>
        <w:t>Bundesverwaltungsgericht, 2020-01-23, DE</w:t>
      </w:r>
    </w:p>
    <w:p>
      <w:r>
        <w:rPr>
          <w:b/>
        </w:rPr>
        <w:t xml:space="preserve">Quelle: </w:t>
      </w:r>
      <w:r>
        <w:t>https://mcp.opencaselaw.ch/entscheid/bvger_F-282_2020</w:t>
      </w:r>
    </w:p>
    <w:p>
      <w:r>
        <w:t>FR: TAF F-282/2020 du 23 janvier 2020</w:t>
      </w:r>
    </w:p>
    <w:p>
      <w:r>
        <w:t>IT: TAF F-282/2020 del 23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 Schliesslich gilt das Prinzip der Überprüfung eines Asylgesuches durch einen einzigen Mitgliedstaat («one chance only»), welches der Vermeidung von multiplen Asylgesuchen in verschiedenen Staaten dient (Art. 3 Abs. 1 Dublin-III-VO).</w:t>
      </w:r>
    </w:p>
    <w:p>
      <w:r>
        <w:rPr>
          <w:b/>
        </w:rPr>
        <w:t>E. 5.1</w:t>
      </w:r>
    </w:p>
    <w:p>
      <w:r>
        <w:t>Ein Abgleich der Fingerabdrücke des Beschwerdeführers 1 und der Beschwerdeführerin 2 mit der «Eurodac»-Datenbank ergab, dass sie am 29. Dezember 2016 in Deutschland, am 10. März 2017 in den Niederlanden, am 20. Juli 2017 in Frankreich, am 5. März 2019 in Island und am 11. September 2019 wiederum in Frankeich um Asyl nachgesucht hatten. Die Beschwerdeführerin 2 war zuvor (am 6. und 7. Juni 2016) schon zweimal mit Asylgesuchen an die deutschen Behörden gelangt (SEM act. 29 bzw. 30). Am 5. Dezember 2019 ersuchte die Vorinstanz die französischen Behörden deshalb um Übernahme der Beschwerdeführenden gestützt auf Art. 18 Abs. 1 Bst. b Dublin-III-VO (SEM act. 48). Diese stimmten dem Übernahmeersuchen am 19. Dezember 2019 zu (SEM act. 52 - 55). Die grundsätzliche Zuständigkeit Frankreichs ist somit gegeben. Dies wird auf Beschwerdeebene auch nicht bestritten.</w:t>
      </w:r>
    </w:p>
    <w:p>
      <w:r>
        <w:rPr>
          <w:b/>
        </w:rPr>
        <w:t>E. 5.2</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In der Rechtsmitteleingabe vom 15. Januar 2020 führten die Beschwerdeführenden unter Bezugnahme auf eine Notiz der SFH aus, es sei keineswegs garantiert, dass sie nach einer Überstellung nach Frankreich Zugang zu angemessener Unterbringung und Betreuung hätten. Nach Einschätzung von Nichtregierungsorganisationen hätten insbesondere Personen, die aufgrund eines Dublin-Entscheides nach Frankreich zurückkehrten, nur ein Recht auf eine reduzierte materielle Unterstützung und damit auf Notunterkünfte, weshalb sie oft auf der Strasse lebten. Der Beschwerdeführer 1 habe während des Dublin-Gesprächs eine Videoaufnahme der Unterkunft (Zelt) gezeigt, in welcher die sechsköpfige Familie untergebracht gewesen sei; wegen der Witterungsverhältnisse seien solche Umstände vor allem für die Kleinkinder unzumutbar. Eine Überstellung nach Frankreich könne daher nur erfolgen, wenn ihrer besonderen Vulnerabilität Rechnung getragen und tatsächlich garantiert werden könne, dass die dortige Unterkunft den entsprechenden Bedürfnissen gerecht werde. Ausserdem habe die Beschwerdeführerin 2 anlässlich des Dublin-Gesprächs Unterleibsbeschwerden erwähnt, welche von der Entfernung der Gebärmutter herrührten und alle sechs Monate einer Kontrolle bedürften. Es sei nicht nachvollziehbar, dass die Vorinstanz den französischen Behörden besagte Informationen trotz Defiziten bei der Unterstützung weiblicher Asylsuchender in jenem Land nicht zur Verfügung gestellt habe.</w:t>
      </w:r>
    </w:p>
    <w:p>
      <w:r>
        <w:rPr>
          <w:b/>
        </w:rPr>
        <w:t>E. 7.2</w:t>
      </w:r>
    </w:p>
    <w:p>
      <w:r>
        <w:t>Die Beschwerdeführenden haben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ihnen bei einer Rückführung erwartenden Bedingungen in Frankreich seien derart schlecht, dass sie zu einer Verletzung von Art. 4 der EU-Grundrechtecharta, Art. 3 EMRK oder Art. 3 FoK führen könnten.</w:t>
      </w:r>
    </w:p>
    <w:p>
      <w:r>
        <w:rPr>
          <w:b/>
        </w:rPr>
        <w:t>E. 7.3</w:t>
      </w:r>
    </w:p>
    <w:p>
      <w:r>
        <w:t>Des Weiteren gibt es auch keine konkreten Hinweise für die Annahme, Frankreich bzw. die Behörden von Marseille würden den Beschwerdeführenden dauerhaft die ihnen gemäss Aufnahmerichtlinie zustehenden minimalen Lebensbedingungen vorenthalten. Bei einer allfälligen vorübergehenden Einschränkung - beispielsweise wegen der geltend gemachten nicht angemessenen Unterbringung in einem Zelt - könnten sie sich nötigenfalls an die französischen Behörden wenden und die ihnen zustehenden Aufnahmebedingungen auf dem Rechtsweg einfordern (vgl. Art. 26 Aufnahmerichtlinie). Anzumerken wäre an dieser Stelle, dass sich die Betroffenen nur wenige Wochen in Frankreich aufhielten und dort als Asylsuchende im beschleunigten Verfahren registriert waren (SEM act. 27). Nichts zu ihren Gunsten abzuleiten vermögen die Beschwerdeführenden ferner aus der eingereichten Notiz der SFH vom 25. Januar 2019. Das Bundesverwaltungsgericht geht trotz der Kritik am französischen Asylsystem gemäss seiner konstanten Rechtsprechung davon aus, dass Asylsuchende in Frankreich die von der Aufnahmerichtlinie garantierten Grundleistungen erhalten und dort somit auch keine unmenschliche und erniedrigende Behandlung im Sinne von Art. 3 EMRK zu befürchten haben (vgl. etwa Urteile des BVGer D-6895/2019 vom 8. Januar 2020 S. 9; F-5826/2019 vom 12. November 2019, E. 5.2; F-5296/2019 vom 16. Oktober 2019, E. 5.2; F-4872/2019 vom 25. September 2019 S. 6, F-3626/2019 vom 22. Juli 2019, E. 5.2; F-2835/2019 vom 13. Juni 2019, S. 5 oder F-2772/2019 vom 12. Juni 2019). Das Einholen individueller Garantien bezüglich adäquater Unterbringung erübrigt sich deshalb und der entsprechende Subeventualantrag ist abzulehnen.</w:t>
      </w:r>
    </w:p>
    <w:p>
      <w:r>
        <w:rPr>
          <w:b/>
        </w:rPr>
        <w:t>E. 7.4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7.5</w:t>
      </w:r>
    </w:p>
    <w:p>
      <w:r>
        <w:t>Eine solche Konstellation ist vorliegend nicht gegeben. Die Beschwerdeführerin 2 sagte während des Dublin-Gesprächs aus, nach der Geburt der Kinder sei bei ihr die Gebärmutter entfernt worden. Seither leide sie an Unterleibsschmerzen. Man habe ihr nahegelegt, sich deswegen alle sechs Monate untersuchen zu lassen (SEM act. 47). Eine konkrete Diagnose liegt nicht vor. Der Beschwerdeführer 1 gab damals an, seine Kinder hätten etwas Schnupfen, ansonsten gehe es ihnen gesundheitlich gut (SEM act. 46). Dementsprechend gelingt es den Beschwerdeführenden nicht nachzuweisen, dass sie nicht reisefähig seien oder eine Überstellung ihre Gesundheit ernsthaft gefährden würde. Ihr Gesundheitszustand vermag eine Unzulässigkeit im Sinne dieser restriktiven Rechtsprechung nicht zu rechtfertigen. Die gesundheitlichen Probleme sind ferner nicht von einer derartigen Schwere, dass aus humanitären Gründen von einer Überstellung abgesehen werden müsste.</w:t>
      </w:r>
    </w:p>
    <w:p>
      <w:r>
        <w:rPr>
          <w:b/>
        </w:rPr>
        <w:t>E. 7.6</w:t>
      </w:r>
    </w:p>
    <w:p>
      <w:r>
        <w:t>Im Übrigen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2 eine adäquate medizinische Behandlung verweigern würde.</w:t>
      </w:r>
    </w:p>
    <w:p>
      <w:r>
        <w:rPr>
          <w:b/>
        </w:rPr>
        <w:t>E. 7.7</w:t>
      </w:r>
    </w:p>
    <w:p>
      <w:r>
        <w:t>Festzuhalten gilt es darüber hinaus,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(vgl. Art. 31 f. Dublin-III-VO). Entgegen der Annahme der Parteivertreterin ist dies vorliegend geschehen, figuriert in den Überstellungsmodalitäten doch ein Hinweis auf die Entfernung der Gebärmutter sowie darauf, dass sich die Beschwerdeführerin 2 deswegen regelmässiger Untersuchungen zu unterziehen habe (siehe SEM act. 59).</w:t>
      </w:r>
    </w:p>
    <w:p>
      <w:r>
        <w:rPr>
          <w:b/>
        </w:rPr>
        <w:t>E. 7.8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7.9</w:t>
      </w:r>
    </w:p>
    <w:p>
      <w:r>
        <w:t>Nach dem Gesagten besteht kein Grund für eine Anwendung der Ermessensklauseln von Art. 17 Dublin-III-VO. Somit bleibt Frankreich der für die Behandlung der Asylgesuche der Beschwerdeführenden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9</w:t>
      </w:r>
    </w:p>
    <w:p>
      <w:r>
        <w:t>Nach dem Gesagten ist die Beschwerde abzuweisen und die Verfügung des SEM zu bestätigen.</w:t>
      </w:r>
    </w:p>
    <w:p>
      <w:r>
        <w:rPr>
          <w:b/>
        </w:rPr>
        <w:t>E. 10</w:t>
      </w:r>
    </w:p>
    <w:p>
      <w:r>
        <w:t>Der am 16. Januar 2020 angeordnete Vollzugsstopp fällt mit vorliegendem Urteil dahin. J. 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den Beschwerdeführenden aufzuerlegen (Art. 63 Abs. 1 VwVG) und auf insgesamt Fr. 750.- festzusetzen (Art. 1 - 3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