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F-2817/2017 vom 6. Dezember 2018</w:t>
      </w:r>
    </w:p>
    <w:p>
      <w:r>
        <w:t>Bundesverwaltungsgericht, 2018-12-06, IT</w:t>
      </w:r>
    </w:p>
    <w:p>
      <w:r>
        <w:rPr>
          <w:b/>
        </w:rPr>
        <w:t xml:space="preserve">Quelle: </w:t>
      </w:r>
      <w:r>
        <w:t>https://mcp.opencaselaw.ch/entscheid/bvger_F-2817_2017</w:t>
      </w:r>
    </w:p>
    <w:p>
      <w:r>
        <w:t>FR: TAF F-2817/2017 du 6 décembre 2018</w:t>
      </w:r>
    </w:p>
    <w:p>
      <w:r>
        <w:t>IT: TAF F-2817/2017 del 6 dicembre 2018</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rese dalla SEM - la quale costituisce un'unità dell'amministrazione federale come definita all'art. 33 lett. d LTAF - possono essere impugnate dinanzi al Tribunale che nella presente fattispecie statuisce quale autorità di grado inferiore al Tribunale federale (art. 1 cpv. 2 LTAF in relazione con l'art. 11 par. 1 e 3 ALC e l'art. 83 lett. c cifra 1 LTF; cfr. inoltre la sentenza del TF 2C_270/2015 del 6 agosto 2015 consid. 1).</w:t>
      </w:r>
    </w:p>
    <w:p>
      <w:r>
        <w:rPr>
          <w:b/>
        </w:rPr>
        <w:t>E. 1.3</w:t>
      </w:r>
    </w:p>
    <w:p>
      <w:r>
        <w:t>Salvo i casi in cui la LTAF non disponga altrimenti, la procedura davanti al Tribunale è retta dalla PA (art. 37 LTAF).</w:t>
      </w:r>
    </w:p>
    <w:p>
      <w:r>
        <w:rPr>
          <w:b/>
        </w:rPr>
        <w:t>E. 1.4</w:t>
      </w:r>
    </w:p>
    <w:p>
      <w:r>
        <w:t>La ricorrente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gravame (art. 62 cpv. 4 PA). Rilevante è in primo luogo la situazione di fatto al momento del giudizio (DTAF 2014/1 consid. 2 e giurisprudenza ivi citata).</w:t>
      </w:r>
    </w:p>
    <w:p>
      <w:r>
        <w:rPr>
          <w:b/>
        </w:rPr>
        <w:t>E. 3.1</w:t>
      </w:r>
    </w:p>
    <w:p>
      <w:r>
        <w:t>Conformemente all'art. 67 cpv. 1 LStr,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3.2</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3.3</w:t>
      </w:r>
    </w:p>
    <w:p>
      <w:r>
        <w:t>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in: Spescha et al. [ed.], Migrationsrecht, 4a ed. 2015, ad art. 67 LStr, n. marg. 3, pag. 270).</w:t>
      </w:r>
    </w:p>
    <w:p>
      <w:r>
        <w:rPr>
          <w:b/>
        </w:rPr>
        <w:t>E. 4.1</w:t>
      </w:r>
    </w:p>
    <w:p>
      <w:r>
        <w:t>Per coloro i quali vi si possono lecitamente richiamare, e nella misura in cui contenga disposizioni derogatorie più favorevoli, determinante è inoltre l'ALC.</w:t>
      </w:r>
    </w:p>
    <w:p>
      <w:r>
        <w:rPr>
          <w:b/>
        </w:rPr>
        <w:t>E. 4.2</w:t>
      </w:r>
    </w:p>
    <w:p>
      <w:r>
        <w:t>In base all'ALC, le parti contraenti ammettono nel rispettivo territorio i cittadini dell'altra parte contraente ed i membri della loro famiglia ai sensi dell'art. 3 cpv. 2 allegato I dietro semplice presentazione di una carta d'identità o di un passaporto validi (art. 1 cpv. 1 allegato I in relazione con l'art. 3 ALC); tale diritto può essere limitato solo da misure giustificate da motivi di ordine pubblico, pubblica sicurezza e pubblica sanità (art. 5 cpv. 1 allegato I ALC).</w:t>
      </w:r>
    </w:p>
    <w:p>
      <w:r>
        <w:rPr>
          <w:b/>
        </w:rPr>
        <w:t>E. 4.3</w:t>
      </w:r>
    </w:p>
    <w:p>
      <w:r>
        <w:t>Secondo la giurisprudenza, che si orienta alla direttiva 64/221/CEE del 25 febbraio 1964 del Consiglio per il coordinamento dei provvedimenti speciali riguardanti il trasferimento ed il soggiorno degli stranieri, giustificati da motivi di ordine pubblico, di pubblica sicurezza e di sanità pubblica (cfr. GU P 56 del 4 aprile 1964, pagg. 851-857) ed alla prassi della Corte di giustizia dell'Unione europea ad essa relativa (art. 5 cpv. 2 allegato I ALC), l'adozione di misure di allontanamento presuppone, al di là della turbativa insita in ogni violazione di legge, la sussistenza di una minaccia effettiva e sufficientemente grave per l'ordine pubblico da parte della persona che ne è toccata. Per «misura» va inteso, ai sensi dell'art. 5 cpv. 1 allegato I ALC e della direttiva 64/221/CEE, ogni atto che ha delle ripercussioni sul diritto di ingresso e di soggiorno (DTF 130 II 176 consid. 3.1 e rinvii). Le deroghe alla libera circolazione vanno quindi interpretate in modo restrittivo (sentenze della CGCE del 27 ottobre 1977 nella causa 30-77 Bouchereau, Racc. 1977 pag. 1999 punti 33-35 e del 19 gennaio 1999 nella causa C-348/96 Calfa, Racc. 1999 I-11 punti 23 e 25).</w:t>
      </w:r>
    </w:p>
    <w:p>
      <w:r>
        <w:rPr>
          <w:b/>
        </w:rPr>
        <w:t>E. 4.4</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originata emerge un comportamento personale costituente una minaccia attuale per l'ordine pubblico (DTF 139 II 121 consid. 5.3; 136 II 5 consid. 4.2 e la giurisprudenza ivi citata; cfr. inoltre la sentenza del TF 2C_436/2014 del 29 ottobre 2014 consid. 3.3). Le autorità nazionali devono procedere ad un apprezzamento specifico, effettuato sulla base degli interessi inerenti alla salvaguardia dell'ordine pubblico, i quali non coincidono necessariamente con gli apprezzamenti all'origine delle condanne penali. In altre parole, queste 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(cfr. DTF 130 II 176 consid. 3.4.1 con riferimenti; sentenze del TF 2C_436/2014 del 29 ottobre 2014 consid. 3.3; 2C_139/2014 del 4 luglio 2014 consid. 4.3; 2C_565/2013 del 6 dicembre 2013 consid. 3.5; 2C_579/2013 del 15 novembre 2013 consid. 2.3 e 2C_260/2013 dell'8 luglio 2013 consid. 4.1).</w:t>
      </w:r>
    </w:p>
    <w:p>
      <w:r>
        <w:rPr>
          <w:b/>
        </w:rPr>
        <w:t>E. 4.5</w:t>
      </w:r>
    </w:p>
    <w:p>
      <w:r>
        <w:t>Inoltre l'adozione di un provvedimento di 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134 II 25 consid. 4.3.2 e 130 II 493 consid. 3.3 e riferimenti ivi citati).</w:t>
      </w:r>
    </w:p>
    <w:p>
      <w:r>
        <w:rPr>
          <w:b/>
        </w:rPr>
        <w:t>E. 4.6</w:t>
      </w:r>
    </w:p>
    <w:p>
      <w:r>
        <w:t>Ne discende che, affinché un cittadino di uno Stato membro dell'ALC possa essere oggetto di una decisione di divieto d'entrata in Svizzera ai sensi dell'art. 67 cpv. 2 lett. a LStr, occorre che egli rappresenti una minaccia di una certa gravità per l'ordine e la sicurezza pubblici, atta a privarlo del diritto di entrare in territorio elvetico ai sensi dell'art. 5 allegato I ALC.</w:t>
      </w:r>
    </w:p>
    <w:p>
      <w:r>
        <w:rPr>
          <w:b/>
        </w:rPr>
        <w:t>E. 4.7</w:t>
      </w:r>
    </w:p>
    <w:p>
      <w:r>
        <w:t>Inoltre, come nel caso di qualsiasi altro cittadino straniero, l'esame deve essere effettuato tenendo presente le garanzie derivanti dalla CEDU così come il principio di proporzionalità (cfr. DTF 131 II 352 consid. 3.3 e numerosi rinvii).</w:t>
      </w:r>
    </w:p>
    <w:p>
      <w:r>
        <w:rPr>
          <w:b/>
        </w:rPr>
        <w:t>E. 5.1</w:t>
      </w:r>
    </w:p>
    <w:p>
      <w:r>
        <w:t>La ricorrente è anche di nazionalità italiana, di conseguenza, nella valutazione della presente causa, è necessario tenere conto delle disposizioni dell'ALC. La LStr è applicabile solo se detto accordo non contiene disposizioni derogatorie o se la legge precitata prevede disposizioni più favorevoli (art. 2 cpv. 2 LStr).</w:t>
      </w:r>
    </w:p>
    <w:p>
      <w:r>
        <w:rPr>
          <w:b/>
        </w:rPr>
        <w:t>E. 5.2</w:t>
      </w:r>
    </w:p>
    <w:p>
      <w:r>
        <w:t>L'art. 67 cpv. 3 2a frase LStr permette alla SEM di pronunciare un divieto d'entrata per una durata maggiore a cinque anni, se la persona interessata costituisce un grave pericolo per l'ordine e la sicurezza pubblici. L'Alta Corte federale ha ritenuto che la graduazione delle esigenze prevista nella suddetta disposizione a seconda che l'autorità intenda pronunciare un divieto per una durata inferiore o superiore a cinque anni non si fonda sull'ALC e nemmeno sulla giurisprudenza ad esso relativa, bensì sulla direttiva 2008/115/CE del Parlamento e del Consiglio europei del 16 dicembre 2008 recante norme e procedure comuni applicabili negli Stati membri al rimpatrio di cittadini di paesi terzi il cui soggiorno è irregolare (cfr. GU L 348/98 del 24 dicembre 2008, pagg. 98-107)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DTF 139 II 121 consid. 6.2).</w:t>
      </w:r>
    </w:p>
    <w:p>
      <w:r>
        <w:rPr>
          <w:b/>
        </w:rPr>
        <w:t>E. 5.3</w:t>
      </w:r>
    </w:p>
    <w:p>
      <w:r>
        <w:t>Poiché la LStr non opera alcuna distinzione tra cittadini di Stati ALC e di Stati terzi (l'art. 67 cpv. 3 LStr riprende infatti il contenuto dell'art. 11 cpv. 2 direttiva 2008/115/CE) e poiché l'ALC è silente sulle misure di divieto d'entrata ed a fortiori sulla possibile durata delle stesse, si deve intendere che il legislatore ha voluto regolare i provvedimenti di divieto d'entrata superiori a cinque anni allo stesso modo per le due categorie di cittadini di Stati esteri (membri ALC o meno).</w:t>
      </w:r>
    </w:p>
    <w:p>
      <w:r>
        <w:rPr>
          <w:b/>
        </w:rPr>
        <w:t>E. 5.4</w:t>
      </w:r>
    </w:p>
    <w:p>
      <w:r>
        <w:t>A tal proposito la giurisprudenza ha stabilito che la nozione di «pericolo grave» richiede un grado di gravità maggiore rispetto al «semplice» pericolo o minaccia per l'ordine e la sicurezza pubblici (art. 67 cpv. 2 lett. a LStr), ma anche maggiore rispetto alla nozione di «pericolo di una certa gravità», necessaria per pronunciare un divieto d'entrata per un cittadino di uno Stato ALC. Operando un raffronto con la nozione di «pericolo di una certa gravità» dell'art. 5 allegato 1 ALC (per una casistica cfr. le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esaminato in concreto, sulla base degli atti di causa (cfr. Marc Spescha, op. cit., ad art. 67 LStr, n. marg. 5, pag. 271; Andrea Binder Oser, in: Caroni/Gächter/Thurnherr [ed.], Bundesgesetz über die Ausländerinnen und Ausländer [AuG], 2010, ad art. 67 LStr, n. marg. 24, pag. 689). Essa può infatti fondarsi sulla natura del bene giuridico in pericolo (ad esempio: minaccia grave alla vita, all'integrità della persona, all'integrità sessuale o alla salute pubblica), sulla natura dell'infrazione commessa, segnatamente compresa in una criminalità particolarmente grave con dimensione transfrontaliera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(cfr. DTF 139 II 121 consid. 6).</w:t>
      </w:r>
    </w:p>
    <w:p>
      <w:r>
        <w:rPr>
          <w:b/>
        </w:rPr>
        <w:t>E. 6</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(cfr.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7.1</w:t>
      </w:r>
    </w:p>
    <w:p>
      <w:r>
        <w:t>Nella fattispecie, la SEM ha pronunciato nei confronti della ricorrente un divieto d'entrata in Svizzera e nel Liechtenstein della durata di sette anni, valido fino al 5 aprile 2024, ritenendo che la stessa ricorrente abbia gravemente violato e minacciato la sicurezza e l'ordine pubblici, interessando le autorità penali svizzere che, il 27 settembre 2013, le hanno inflitto una pena detentiva di 36 mesi (di cui 18 da espiare), per il reato di tentato omicidio intenzionale (cfr. sentenza della Corte delle assise criminali del 27 settembre 2013, incarto Simic, pagg. 3-4).</w:t>
      </w:r>
    </w:p>
    <w:p>
      <w:r>
        <w:rPr>
          <w:b/>
        </w:rPr>
        <w:t>E. 7.2</w:t>
      </w:r>
    </w:p>
    <w:p>
      <w:r>
        <w:t>Dalle tavole processuali emerge che, il 12 aprile 2013, la ricorrente ha tentato di uccidere il proprio amante - il quale, dopo 14 anni di relazione, intendeva mettere fine al loro rapporto - con un coltello che conservava nella propria automobile. In questo frangente la ricorrente aveva dunque sferrato un colpo al collo della vittima, che - alla luce degli accertamenti della autorità penali competenti - avrebbe potuto risultare fatale. La Corte delle assise criminali, nel suo giudizio del 27 settembre 2013, ha appurato che la ricorrente aveva agito per dolo eventuale (che è, occorre rammentare, una forma di intenzionalità, seppure attenuata [cfr. art. 12 cpv. 2 CP]), ragione per cui l'interessata è stata condannata per tentato omicidio intenzionale, mentre è stata prosciolta dai capi d'imputazione di atti preparatori di incendio intenzionale, coazione tentata e denuncia mendace (cfr. ibidem, pag. 4).</w:t>
      </w:r>
    </w:p>
    <w:p>
      <w:r>
        <w:rPr>
          <w:b/>
        </w:rPr>
        <w:t>E. 7.3</w:t>
      </w:r>
    </w:p>
    <w:p>
      <w:r>
        <w:t>Questo Tribunale ritiene che, con il suo comportamento del 12 aprile 2013, la ricorrente ha messo gravemente in pericolo la vita di una persona. Sulla base di queste circostanze, vista la gravità e la pericolosità dell'infrazione commessa, il provvedimento avversato adempie le condizioni che permettono all'autorità di derogare al principio della libera circolazione sancito dall'ALC.</w:t>
      </w:r>
    </w:p>
    <w:p>
      <w:r>
        <w:rPr>
          <w:b/>
        </w:rPr>
        <w:t>E. 8.1</w:t>
      </w:r>
    </w:p>
    <w:p>
      <w:r>
        <w:t>A questo stadio è dunque necessario esaminare, in concreto, se la minaccia è ad oggi sempre di attualità, tenendo ben presente che, come si è precedentemente rilevato, l'adozione o il mantenimento di un provvedimento di questo tipo non deve essere subordinato alla condizione di stabilita certezza che la persona toccata da una misura di divieto d'entrata commetta nuove infrazioni penali, ma nemmeno si deve esigere la totale assenza di un rischio di recidiva per rinunciarvi.</w:t>
      </w:r>
    </w:p>
    <w:p>
      <w:r>
        <w:rPr>
          <w:b/>
        </w:rPr>
        <w:t>E. 8.2</w:t>
      </w:r>
    </w:p>
    <w:p>
      <w:r>
        <w:t>A mente dello scrivente Tribunale occorre considerare che - sebbene quanto accaduto il 12 aprile 2013 rappresenta un episodio unico fino ad oggi - non è possibile esprimere un pronostico favorevole a proposito della recidività della ricorrente, non potendosi totalmente e senz'altro escludere che in futuro la stessa possa incorrere in atti spericolati se messa o trovandosi in situazioni di difficile autocontrollo. Al momento dei fatti la ricorrente si trovava in uno stato di piena imputabilità (cfr. ibidem, pag. 8), anzi è passata all'atto pur non trovandosi in una situazione di pericolo o di minaccia (cfr. sentenza del TF 2C_694/2015 del 15 febbraio 2016 consid. 7.1.1, incarto Simic, pag. 127). Il suo agire delittuoso è stato sostanzialmente dettato dall'incapacità di accettare che la relazione con il proprio amante fosse terminata. Certamente l'atteggiamento di quest'ultimo è stato tutt'altro che univoco rispetto alla rottura con l'interessata, poiché la vittima - dopo avere comunicato alla ricorrente la propria volontà di mettere un termine alla relazione di natura sessuale durata 14 anni - ha continuato a mantenere i contatti con la stessa ricorrente a fini proprio sessuali e per calmarla nella paura che l'interessata potesse avvicinare la di lui moglie, da poco venuta a conoscenza della citata relazione (sentenza della Corte delle assise criminali del 27 settembre 2013, incarto Simic, pagg. 40 e 16). Occorre inoltre sottolineare l'atteggiamento tenuto dalla ricorrente durante l'inchiesta penale, poiché ha dapprima agito in maniera collusiva (ibidem, pagg. 22-23), tentando di accusare l'amante di averla aggredita sessualmente (la vittima è stata in seguito scagionata) (ibidem, pag. 36), successivamente ha cambiato più volte versione dei fatti «passando dalla difesa da un'aggressione di tipo sessuale da parte dell'uomo (la vittima), a una difesa per un pretesto dolore fisico alle parti intime fino ad adattare il suo dire man mano che veniva a conoscenza delle risultanze istruttorie» (ibidem, pag. 31), arrivando anche a sostenere che la vittima si sarebbe ferita, poiché caduta sulla lama del coltello usato come arma del delitto (ibidem, pag. 26). L'insieme di questi comportamenti non può non indurre il Tribunale a ritenere che un rischio di recidiva sussiste, e ciò indipendentemente dal fatto che la Corte delle assise criminali al momento del suo giudizio abbia stabilito la prognosi sui futuri comportamenti della ricorrente al momento del giudizio come non del tutto negativa (ibidem, pag. 6). Del resto, anche il Tribunale federale, nel suo giudizio del 15 febbraio 2016, esprimendosi in merito alla stabilità emozionale della ricorrente, ha costatato che i fatti di cui alla condanna del 27 settembre 2013 denotano un rischio concreto per l'incolumità altrui (cfr. cfr. sentenza del TF 2C_694/2015 del 15 febbraio 2016 consid. 7.2.3, incarto Simic, pag. 125).</w:t>
      </w:r>
    </w:p>
    <w:p>
      <w:r>
        <w:rPr>
          <w:b/>
        </w:rPr>
        <w:t>E. 8.3</w:t>
      </w:r>
    </w:p>
    <w:p>
      <w:r>
        <w:t>Inoltre, a ben vedere - anche a fronte del miglioramento della situazione personale dell'interessata, che dopo la condanna del 27 settembre 2013 ha ripagato le spese legali legate al procedimento penale a suo carico (cfr incarto Simic, pagg. 227-251), sembrerebbe essersi trasferita in Italia con il nuovo marito (cfr. atto di matrimonio, incarto Simic, pagg. 220-223; atto ricorsuale, pag. 3), e non ha più interessato autorità penali - la data dei fatti di rilevanza penale, ossia il 12 aprile 2013, non è così remota da potere giovare alla posizione dell'insorgente a causa del lasso di tempo trascorso. Deve inoltre essere osservato che l'avere tenuto un comportamento corretto a seguito di una condanna penale non costituisce nulla di eccezionale, ma corrisponde a quanto è lecito attendersi da qualsiasi cittadino. Sia quel che sia, nella fattispecie si impone anche di considerare che, indipendentemente dalle considerazioni espresse dalle autorità di perseguimento penale, è stato toccato un bene giuridico protetto estremamente sensibile - quale la vita e l'integrità fisica - che, viste le circostanze e le modalità con cui la ricorrente ha agito, rappresentano un grave pericolo per l'ordine e la sicurezza pubblici ai sensi dell'art. 67 cpv. 3 2a frase LStr. Su questo punto, le considerazioni espresse nel ricorso del 17 maggio 2017 (cfr. atto ricorsuale, pagg. 10-12) si rivelano infondate.</w:t>
      </w:r>
    </w:p>
    <w:p>
      <w:r>
        <w:rPr>
          <w:b/>
        </w:rPr>
        <w:t>E. 8.4</w:t>
      </w:r>
    </w:p>
    <w:p>
      <w:r>
        <w:t>Occorre altresì ricordare che le competenti autorità amministrative ticinesi hanno revocato il permesso di domicilio dell'interessata proprio per le medesime ragioni. Questo provvedimento è stato in seguito confermato anche dal Tribunale federale (cfr. narrativa, lett. C.). Deve infine essere rammentato che, contrariamente a quanto affermato nel ricorso del 17 maggio 2017 (cfr. pag. 12), un divieto d'entrata di durata superiore a cinque anni può essere pronunciato anche nei confronti di cittadini normalmente a beneficio dei diritti conferiti dall'ALC (al proposito si rimanda a quanto esposto al consid. 5.3).</w:t>
      </w:r>
    </w:p>
    <w:p>
      <w:r>
        <w:rPr>
          <w:b/>
        </w:rPr>
        <w:t>E. 9.1</w:t>
      </w:r>
    </w:p>
    <w:p>
      <w:r>
        <w:t>Il divieto d'entrata in Svizzera e nel Liechtenstein di durata superiore a cinque anni è quindi confermato nel suo principio. A fronte di quanto esposto, resta ora da stabilire se la durata di sette anni della misura di allontanamento adottata dalla SEM nei confronti della ricorrente sia conforme al principio di proporzionalità e, procedendo ad un apprezzamento degli interessi privati e pubblici in gioco, valutare se sia adeguata alle circostanze del caso di specie.</w:t>
      </w:r>
    </w:p>
    <w:p>
      <w:r>
        <w:rPr>
          <w:b/>
        </w:rPr>
        <w:t>E. 9.2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(cfr. DTF 140 I 168 consid. 4.2.1; 136 I 87 consid. 3.2; 136 IV 97 consid. 5.2.2).</w:t>
      </w:r>
    </w:p>
    <w:p>
      <w:r>
        <w:rPr>
          <w:b/>
        </w:rPr>
        <w:t>E. 9.3</w:t>
      </w:r>
    </w:p>
    <w:p>
      <w:r>
        <w:t>Quanto all'interesse pubblico all'allontanamento della ricorrente dal territorio svizzero, si è già detto ai considerandi precedenti.</w:t>
      </w:r>
    </w:p>
    <w:p>
      <w:r>
        <w:rPr>
          <w:b/>
        </w:rPr>
        <w:t>E. 9.4</w:t>
      </w:r>
    </w:p>
    <w:p>
      <w:r>
        <w:t>In merito agli interessi privati, la ricorrente ha lamentato principalmente una violazione, da parte della SEM, dell'art. 8 CEDU, il quale garantisce il diritto al rispetto della vita privata e familiare, sottolineando che la decisione dell'autorità inferiore con la conseguente impossibilità di recarsi in territorio svizzero non gli permette «di continuare a visitare i propri congiunti e amici in Svizzera»; ha altresì affermato di essersi trasferita in Italia in una cittadina vicina al confine elvetico proprio per essere in prossimità dei propri affetti.</w:t>
      </w:r>
    </w:p>
    <w:p>
      <w:r>
        <w:rPr>
          <w:b/>
        </w:rPr>
        <w:t>E. 9.4.1</w:t>
      </w:r>
    </w:p>
    <w:p>
      <w:r>
        <w:t>In merito al rapporto con l'attuale marito, ... (la coppia si è infatti unita in matrimonio il ... a ... [...] [cfr. atto di matrimonio, incarto Simic, pagg. 220-223], dopo 13 anni di relazione [cfr. sentenza del TRAM del 25 giugno 2015, incarto Simic, pag. 80] e risiederebbe a ... [cfr. atto ricorsuale, pag. 3]), cittadino italiano, la ricorrente ha affermato che quest'ultimo svolge la sua attività lucrativa in Svizzera. La sussistenza di un divieto d'entrata nei confronti della ricorrente di durata superiore ad un anno, implicherebbe dunque per il marito un «grave disagio, che si somma a quello delle frequenti trasferte che è costretto a fare per recar visita alla moglie a ..., anche in considerazione del suo (di lei) cagionevole stato di salute» (cfr. ibidem, pag. 13).</w:t>
      </w:r>
    </w:p>
    <w:p>
      <w:r>
        <w:rPr>
          <w:b/>
        </w:rPr>
        <w:t>E. 9.4.2</w:t>
      </w:r>
    </w:p>
    <w:p>
      <w:r>
        <w:t>Come detto, l'art. 8 CEDU tutela la vita privata e familiare delle persone. Questa disposizione non garantisce tuttavia il diritto di entrare in un determinato Stato (cfr. in questo senso segnatamente DTF 140 I 145 consid. 3.1; 139 I 330 consid. 2.1 e riferimenti ivi citati). 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(cfr.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9.4.3</w:t>
      </w:r>
    </w:p>
    <w:p>
      <w:r>
        <w:t>La protezione del diritto al rispetto della vita privata e familiare conferita dalla norma convenzionale non ha però valenza assoluta, poiché ai sensi dell'art. 8 cpv. 2 CEDU, un'ingerenza delle autorità rimane possibile quando è prevista dalla legge ed in quanto costituisca una misura che, in una società democratica, è necessaria per la sicurezza nazionale, l'ordine pubblico, il benessere economico del paese, la prevenzione dei reati, la protezione della salute, della morale o la protezione dei diritti e delle libertà altrui (cfr. DTF 140 I 77 consid. 5.2; 137 I 113 consid. 6.1).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9.4.4</w:t>
      </w:r>
    </w:p>
    <w:p>
      <w:r>
        <w:t>Nel caso in esame, occorre costatare che la ricorrente risulta effettivamente essere sposata con ..., cittadino italiano che - secondo le dichiarazioni contenute nel ricorso del 17 maggio 2017 (cfr. pag. 3) - si sarebbe trasferito con lei in Italia. A ben vedere, però, le allegazioni della ricorrente in merito al luogo di residenza del marito non sono propriamente cristalline, in quanto, in occasione delle osservazioni del 31 marzo 2017 dinanzi all'autorità inferiore, ha affermato che il marito viveva in Ticino (cfr. incarto Simic, pag. 257), mentre nel ricorso ha appunto sostenuto di essersi «trasferita a vivere a ... con il sig. ...» (cfr. atto ricorsuale, pag. 3), salvo poi paventare - nel medesimo documento - che «la rinuncia al proprio (del marito, N.d.R.) domicilio in Svizzera sarebbe fonte di grave disagio che si somma a quello delle frequenti trasferte che è costretto a fare per recar visita alla moglie a ... (...)». Sia come sia, e come appena riferito (cfr. consid. 9.4.1), dagli atti risulta che il matrimonio è stato pronunciato il ... a ... (cfr. atto di matrimonio, incarto Simic, pagg. 220-223), ovvero dopo che la decisione di revoca del permesso di domicilio dell'interessata era cresciuta in giudicato (cfr. narrativa, lett. C.). Gli sposi non potevano a quel momento ignorare che i trascorsi penali della ricorrente avrebbero potuto avere importanti ripercussioni sul diritto di quest'ultima a potersi liberamente recare in Svizzera. Su questo punto la decisione della SEM non presta fianco a critiche. A titolo abbondanziale occorre osservare che, per sua stessa ammissione, la ricorrente vive in prossimità del confine svizzero, ragione per cui i contatti con il marito non possono essere definiti come compromessi dalla misura di allontanamento dal territorio svizzero. È infatti necessario ricordare, nuovamente, che l'impossibilità per la ricorrente di risiedere in Svizzera è già stata decretata in maniera definitiva nel procedimento che ha portato alla revoca del suo permesso di domicilio, mentre, come rettamente ritenuto dall'autorità inferiore, nulla indica che il marito - qualora continui a risiedere in Svizzera - non possa liberamente recarsi a ... dalla ricorrente.</w:t>
      </w:r>
    </w:p>
    <w:p>
      <w:r>
        <w:rPr>
          <w:b/>
        </w:rPr>
        <w:t>E. 9.4.5</w:t>
      </w:r>
    </w:p>
    <w:p>
      <w:r>
        <w:t>Per quel che invece concerne il rapporto dell'interessata con gli altri membri della famiglia residenti in Svizzera, occorre osservare come, dagli atti, non risulta che vi sia un particolare rapporto di dipendenza da o verso i figli maggiorenni nati rispettivamente nel 1982 e nel 1991; ne consegue che non sono dati i presupposti per l'applicazione della protezione conferita dall'art. 8 CEDU.</w:t>
      </w:r>
    </w:p>
    <w:p>
      <w:r>
        <w:rPr>
          <w:b/>
        </w:rPr>
        <w:t>E. 9.4.6</w:t>
      </w:r>
    </w:p>
    <w:p>
      <w:r>
        <w:t>La ricorrente si è inoltre richiamata al desiderio di potersi recare in visita a parenti ed amici in Svizzera, argomentando che il divieto d'entrata risulta oltremodo gravoso per il marito. Anche questa censura è votata all'insuccesso in quanto - alla luce dei reati commessi - l'interesse pubblico alla salvaguardia dell'ordine e della sicurezza pubblici risulta preponderante rispetto agli interessi privati dell'insorgente, ritenuto come detti rapporti di carattere familiare e di amicizia non beneficiano della protezione conferita dal diritto al rispetto della vita privata e familiare ai sensi dell'art. 8 CEDU. Sempre con riferimento al desiderio dell'interessata di potere mantenere i contatti con i propri familiari e conoscenti in Svizzera, il Tribunale ritiene in limine giudizioso osservare che, giusta l'art. 67 cpv. 5 LStr, qualora la ricorrente potesse richiamarsi a motivi gravi o di carattere umanitario, avrebbe la possibilità di postulare alla SEM la sospensione del divieto d'entrata in Svizzera pronunciato nei suoi confronti. Facoltà di cui peraltro l'interessata ha già fatto uso (cfr. narrativa, lett O. e P.).</w:t>
      </w:r>
    </w:p>
    <w:p>
      <w:r>
        <w:rPr>
          <w:b/>
        </w:rPr>
        <w:t>E. 9.5</w:t>
      </w:r>
    </w:p>
    <w:p>
      <w:r>
        <w:t>Sia dinanzi all'autorità inferiore (cfr. incarto Simic, pag. 257), sia in sede ricorsuale (cfr. pag. 13), la ricorrente ha fatto riferimento al proprio precario stato di salute. A questo proposito il Tribunale considera che, per quanto sia comprensibile che la ricorrente si trovi in uno stato di disagio dopo essersi stabilita in Italia dopo avere ininterrottamente vissuto in Svizzera dal 1991, il suo stato di salute, caratterizzato da ulteriori disturbi, non rappresenta un motivo atto a comportare una riduzione della durata del divieto d'entrata pronunciato dalla SEM il 6 aprile 2017. In effetti, è stata la ricorrente medesima ad asserire che il suo precario stato di salute sia da ricondurre in parte alla revoca del proprio permesso di domicilio - dunque non alla decisione oggetto di questa causa (cfr. incarto Simic, pag. 257) - inoltre per sua stessa ammissione, la ricorrente risulta essere pienamente presa a carico dal sistema sanitario italiano (cfr. ibidem).</w:t>
      </w:r>
    </w:p>
    <w:p>
      <w:r>
        <w:rPr>
          <w:b/>
        </w:rPr>
        <w:t>E. 9.6</w:t>
      </w:r>
    </w:p>
    <w:p>
      <w:r>
        <w:t>Il Tribunale osserva, infine, come le dichiarazioni di stima nei confronti della ricorrente allegate al ricorso (cfr. doc. B e C), così come la documentazione relativa alla decisione del Giudice dei provvedimenti coercitivi del 30 aprile 2014 (cfr. doc. F e G), e il richiamo all'esistenza di un bene immobile in Svizzera in comproprietà con l'ex marito (cfr. atto ricorsuale, pag. 3), non risultano decisivi in questa sede, poiché - in ragione di quanto appena esposto - l'interesse pubblico all'allontanamento della ricorrente dal territorio della Confederazione prevale su quello privato di quest'ultima ad entrarvi.</w:t>
      </w:r>
    </w:p>
    <w:p>
      <w:r>
        <w:rPr>
          <w:b/>
        </w:rPr>
        <w:t>E. 9.7</w:t>
      </w:r>
    </w:p>
    <w:p>
      <w:r>
        <w:t>In sintesi, il Tribunale ritiene che la pronuncia di un divieto d'entrata della durata di sette anni è adeguata e proporzionale.</w:t>
      </w:r>
    </w:p>
    <w:p>
      <w:r>
        <w:rPr>
          <w:b/>
        </w:rPr>
        <w:t>E. 10</w:t>
      </w:r>
    </w:p>
    <w:p>
      <w:r>
        <w:t>Ne discende che l'autorità inferiore, con la decisione del 6 aprile 2017,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Le spese giudiziarie di fr. 1'000.- seguono la soccombenza e sono poste a carico della ricorrente (art. 63 cpv. 1 e 5 PA nonché art. 3 lett. b del regolamento del 21 febbraio 2008 sulle tasse e sulle spese ripetibili nelle cause dinanzi al Tribunale amministrativo federale [TS-TAF, RS 173.320.2]).</w:t>
      </w:r>
    </w:p>
    <w:p>
      <w:r>
        <w:rPr>
          <w:b/>
        </w:rPr>
        <w:t>E. 12</w:t>
      </w:r>
    </w:p>
    <w:p>
      <w:r>
        <w:t>Visto l'esito della procedura, non sono assegnate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