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F-2810/2017 vom 8. April 2019</w:t>
      </w:r>
    </w:p>
    <w:p>
      <w:r>
        <w:t>Bundesverwaltungsgericht, 2019-04-08, DE</w:t>
      </w:r>
    </w:p>
    <w:p>
      <w:r>
        <w:rPr>
          <w:b/>
        </w:rPr>
        <w:t xml:space="preserve">Quelle: </w:t>
      </w:r>
      <w:r>
        <w:t>https://mcp.opencaselaw.ch/entscheid/bvger_F-2810_2017</w:t>
      </w:r>
    </w:p>
    <w:p>
      <w:r>
        <w:t>FR: TAF F-2810/2017 du 8 avril 2019</w:t>
      </w:r>
    </w:p>
    <w:p>
      <w:r>
        <w:t>IT: TAF F-2810/2017 del 8 aprile 2019</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Als Adressaten der Verfügung sind Ali Raza und Urooj Fatima zur Beschwerde legitimiert (vgl. Art. 48 Abs. 1 VwVG). Auf ihre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3.2</w:t>
      </w:r>
    </w:p>
    <w:p>
      <w:r>
        <w:t>Die angefochtene Verfügung betrifft die Visumsgesuche von aus Pakistan stammenden Ehegatten. Da diese sich nicht auf die EU/EFTA-Personen-Freizügigkeits-Abkommen berufen können und die beabsichtigte Aufenthaltsdauer 90 Tage nicht überschreitet, fallen ihre Gesuche in den Anwendungsbereich der Schengen-Assoziierungsabkommen, mit denen die Schweiz den Schengen-Besitzstand und die dazugehörigen gemeinschaftsrechtlichen Rechtsakte übernommen hat. Das Ausländer- und Integrationsgesetz (AIG, SR 142.20) und seine Ausführungsbestimmungen gelangen nur insoweit zur Anwendung, als die Schengen-Assoziierungsabkommen keine abweichenden Bestimmungen enthalten (vgl. Art. 2 Abs. 4 AIG sowie Art. 1 Abs. 2 der Verordnung vom 15. August 2018 über die Einreise und die Visumserteilung [VEV, SR 142.204]).</w:t>
      </w:r>
    </w:p>
    <w:p>
      <w:r>
        <w:rPr>
          <w:b/>
        </w:rPr>
        <w:t>E. 4</w:t>
      </w:r>
    </w:p>
    <w:p>
      <w:r>
        <w:t>Drittstaatsangehörige müssen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Abs. 2 AIG; Art. 3 Abs. 1 VEV i.V.m. Art. 6 Abs. 1 der Verordnung [EG] Nr. 2016/399 des Europäischen Parlaments und des Rates vom 9. März 2016 über einen Gemeinschaftskodex für das Überschreiten der Grenzen durch Personen [Schengener Grenzkodex] [kodifizierte Fassung] ABl. L 77 vom 23. März 2016 [nachfolgend: SGK].</w:t>
      </w:r>
    </w:p>
    <w:p>
      <w:r>
        <w:rPr>
          <w:b/>
        </w:rPr>
        <w:t>E. 5</w:t>
      </w:r>
    </w:p>
    <w:p>
      <w:r>
        <w:t>Im vorliegenden Fall hat die Vorinstanz sowohl den Aufenthaltszweck als auch die anstandslose Wiederausreise der Beschwerdeführenden bezweifelt und dies sowohl mit dem Fehlen besonderer Verpflichtungen als auch mit den wirtschaftlichen und sozialen Verhältnissen in ihrem Heimatstaat begründet. Zu der somit im Vordergrund stehenden Frage der gesicherten Wiederausreise können jedoch lediglich Prognosen getroffen werden, wobei alle Umstände des Einzelfalles zu würdigen sind. Bei Einreisegesuchen von Personen aus Regionen mit politisch oder wirtschaftlich ungünstigen Verhältnissen rechtfertigt sich eine strenge Praxis, da die persönliche Interessenlage in solchen Fällen häufig nicht mit dem Ziel und Zweck einer zeitlich befristeten Einreisebewilligung im Einklang steht (vgl. BVGE 2014/1 E. 6.1 m.H.).</w:t>
      </w:r>
    </w:p>
    <w:p>
      <w:r>
        <w:rPr>
          <w:b/>
        </w:rPr>
        <w:t>E. 6.1</w:t>
      </w:r>
    </w:p>
    <w:p>
      <w:r>
        <w:t>Pakistans Wirtschaft hat aus mehreren Gründen - dazu gehören die günstige geographische Lage, niedrige Lohnkosten, die junge Bevölkerung und eine expandierende Mittelschicht - Wachstumspotenzial. Jahrzehntelange Vernachlässigung der sozialen und wirtschaftlichen Infrastruktur sowie politische Instabilität führten neben weiteren Faktoren dazu, dass dieses Potenzial bisher nicht ausgeschöpft wurde, dies trotz Anstiegs des Bruttoinlandsprodukts in den letzten beiden Jahren um je mehr als 5 Prozent. Dennoch ist festzustellen, dass sich die makroökonomische Lage in Pakistan stark verschlechtert hat, nachdem ein dreijähriges Unterstützungsprogramm des IWF im September 2016 beendet wurde. Ein neues Hilfsprogramm wurde zwar Ende 2018 beantragt; seine Details sind aber noch nicht ausgehandelt. Vor diesem Hintergrund wird auch in Zukunft nur mit Wachstumsquoten zu rechnen sein, die hinter denjenigen der anderen rasch wachsenden Volkswirtschaften in Asien zurückbleiben. Als Pakistans grösste Wachstumshemmnisse gelten Korruption, ineffiziente Bürokratie, ein unsicheres regulatorisches Umfeld, relativ teure bzw. unzureichende Energieversorgung und eine teilweise immer noch fragile Sicherheitslage (vgl. Deutsches Auswärtiges Amt, http://www.auswaertiges-amt.de &gt; Aussen- und Europapolitik &gt; Länderinformationen &gt; Pakistan &gt; Wirtschaft &gt; Aktuelle Wirtschaftslage / Wirtschaftsklima [Stand: 5. März 2019]). Innenpolitisch bleibt die Bedrohung durch Terrorismus und Extremismus zentrales Problem für die Sicherheit des Landes, auch wenn die Gewalt durch militante und terroristische Gruppen etwas gesunken ist. Seit Jahren verüben jedoch die Taliban und andere Gruppieren terroristische Anschläge, die vor allem Einrichtungen des Militärs und der Polizei treffen sollen. Opfer sind aber auch politische Gegner der Taliban, Medienvertreter, religiöse Minderheiten, Schiiten sowie Muslime, die nicht der strikt konservativen Islam-Auslegung der Taliban folgen. Gesellschaftliche Herausforderung für die gesamte Infrastruktur Pakistans ist das mit durchschnittlich mehr als zwei Prozent pro Jahr hohe Bevölkerungswachstum. Ihm zufolge ist mehr als die Hälfte der pakistanischen Bevölkerung unter 25 Jahre alt sind, was insbesondere das Bildungs- und Gesundheitssystem des Landes sowie die Absorptionsfähigkeit des Arbeitsmarkts vor Probleme stellt. Hinzu kommt, dass die nachhaltige Entwicklung einer liberalen Demokratie mit effektivem Rechtsstaat und Schutz der Menschenrechte durch die bestehenden Strukturen weiterhin behindert wird. Frauen bleiben in Pakistan aufgrund traditioneller patriarchalischer Normen und infolge der Anwendung islamisch geprägter Rechtsvorschriften insgesamt schlechter gestellt als Männer. Ihre Diskriminierung ist im Alltag verbreitet. Im jüngsten "Global Gender Gap Report" des World Economic Forum, der die Lebensbedingungen von Männern und Frauen vergleicht, belegt Pakistan den 143. Platz von 144 erfassten Staaten (zu Vorstehendem: vgl. Deutsches Auswärtiges Amt, a.a.O. Pakistan Staatsaufbau und Innenpolitik &gt; Aktuelle innenpolitische Lage / Gesellschaft / Menschenrechte / Lage der Frauen [Stand: 5. März 2019]).</w:t>
      </w:r>
    </w:p>
    <w:p>
      <w:r>
        <w:rPr>
          <w:b/>
        </w:rPr>
        <w:t>E. 6.2</w:t>
      </w:r>
    </w:p>
    <w:p>
      <w:r>
        <w:t>Die oben beschriebene Situation im Herkunftsland der Beschwerdeführenden macht deutlich, dass viele Gründe für den Wunsch nach Emigration ins europäische Ausland verantwortlich sein können. Dennoch darf Gesuchstellenden aus Pakistan nicht generell ein fehlender Rückkehrwille unterstellt werden. Ihren sozialen Bindungen und Verpflichtungen muss angesichts der dortigen sozio-ökonomischen Verhältnisse allerdings erhebliches Gewicht zukommen, damit die anstandslose Wiederausreise als genügend wahrscheinlich gelten kann.</w:t>
      </w:r>
    </w:p>
    <w:p>
      <w:r>
        <w:rPr>
          <w:b/>
        </w:rPr>
        <w:t>E. 6.3</w:t>
      </w:r>
    </w:p>
    <w:p>
      <w:r>
        <w:t>In ihrer Rechtsmitteleingabe haben die Beschwerdeführenden dargelegt, sie seien beide in Pakistan aufgewachsen und hätten dort ihre sozialen/familiären Bindungen. Derart allgemeine und selbstverständliche Angaben zum vorhandenen Beziehungsnetz reichen allerdings nicht aus, um auf ihren Rückkehrwillen schliessen zu können. Gleiches gilt für die der Rechtsmitteleingabe beigefügte Bescheinigung des Beschwerdeführers über sein im Jahr 2016 erzieltes Jahreseinkommen, welches mit einem Betrag von PKR 1'080'000.- (US$ 7725.-) weit über dem Durchschnittseinkommen in Pakistan liegt (im Jahr 2017: US$ 1580.- [Quelle: Statistisches Bundesamt, https://www.destatis.de]). Dieses Einkommen sowie die vorhandenen Ersparnisse erlaubten den Ehegatten offensichtlich bisher ein materiell sorgenfreies Leben; angesichts der mit dem Bevölkerungswachstum einhergehenden arbeitsmarktlichen und sozialpolitischen Herausforderungen kommt der geäusserten Überzeugung, als Paar finanziell abgesichert zu sein, jedoch kein entscheidendes Gewicht zu. Die Beschwerdeführenden sind mit 34 bzw. 31 Jahren noch relativ jung, weshalb nicht ausgeschlossen werden kann, dass sie sich in West- oder Mitteleuropa eine neue Zukunft erhoffen. Ihre Ersparnisse, auf welche auch im Ausland Zugriff bestünde, reichen als Motivation für die Rückkehr ins Herkunftsland jedenfalls nicht aus.</w:t>
      </w:r>
    </w:p>
    <w:p>
      <w:r>
        <w:rPr>
          <w:b/>
        </w:rPr>
        <w:t>E. 7</w:t>
      </w:r>
    </w:p>
    <w:p>
      <w:r>
        <w:t>Vor dem aufgezeigten Hintergrund durfte die Vorinstanz zu Recht annehmen, die Wiederausreise der Beschwerdeführenden sei nicht gesichert. Die Voraussetzungen für die Erteilung von Schengen-Visa sind somit nicht erfüllt. Der angefochtene Einspracheentscheid ist daher als rechtmässig zu bestätigen (vgl. Art. 49 VwVG) und die Beschwerde abzuweisen.</w:t>
      </w:r>
    </w:p>
    <w:p>
      <w:r>
        <w:rPr>
          <w:b/>
        </w:rPr>
        <w:t>E. 8</w:t>
      </w:r>
    </w:p>
    <w:p>
      <w:r>
        <w:t>Bei diesem Ausgang des Verfahrens sind dessen Kosten den Beschwerdeführenden aufzuerlegen (vgl. Art. 63 Abs. 1 VwVG i.V.m. Art. 1 ff. des Reglements vom 21. Februar 2008 über die Kosten und Entschädigungen vor dem Bundesverwaltungsgericht [VGKE, SR 173.320.2]).</w:t>
      </w:r>
    </w:p>
    <w:p>
      <w:r>
        <w:rPr>
          <w:b/>
        </w:rPr>
        <w:t>E. 9</w:t>
      </w:r>
    </w:p>
    <w:p>
      <w:r>
        <w:t>Mangels Benennung eines Zustellungsdomizils ist der vorliegende Entscheid durch Publikation im Bundesblatt zu eröffnen. Die Verfügung vom 20. November 2017 gilt dabei als miteröffnet.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