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F-2805/2026 vom 30. April 2026</w:t>
      </w:r>
    </w:p>
    <w:p>
      <w:r>
        <w:t>Bundesverwaltungsgericht, 2026-04-30, DE</w:t>
      </w:r>
    </w:p>
    <w:p>
      <w:r>
        <w:rPr>
          <w:b/>
        </w:rPr>
        <w:t xml:space="preserve">Quelle: </w:t>
      </w:r>
      <w:r>
        <w:t>https://mcp.opencaselaw.ch/entscheid/bvger_F-2805_2026</w:t>
      </w:r>
    </w:p>
    <w:p>
      <w:r>
        <w:t>FR: TAF F-2805/2026 du 30 avril 2026</w:t>
      </w:r>
    </w:p>
    <w:p>
      <w:r>
        <w:t>IT: TAF F-2805/2026 del 30 aprile 2026</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sodass auf die Beschwerde einzutreten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3.1</w:t>
      </w:r>
    </w:p>
    <w:p>
      <w:r>
        <w:t>Die Vorinstanz hat korrekt erwogen, dass gestützt auf Art. 20 Abs. 5 Dublin-III-VO grundsätzlich Kroatien für die Behandlung der Asylgesuche der Beschwerdeführenden zuständig ist und dass das kroatische Asylsystem rechtsprechungsgemäss keine systemischen Mängel aufweist (vgl. Referenzurteil des BVGer E-1488/2020 vom 22. März 2023 E. 9.5; zuletzt Urteile des BVGer F-2248/2026 vom 31. März 2026 E. 2.1, F-2002/2026 vom 25. März 2026 E. 2.1, F-1994/2026 vom 23. März 2026 E. 2.2), aufgrund derer die Zuständigkeit gemäss Art. 3 Abs. 2 Dublin-III-VO auf die Schweiz überginge. Die Vorinstanz hat ferner zu Recht erkannt, dass vorliegend keine völkerrechtlichen Vollzugshindernisse ersichtlich sind, welche die Schweiz zu einem Selbsteintritt nach Art. 17 Abs. 1 Dublin-III-VO verpflichten würden. Dabei hat die Vorinstanz insbesondere die gesundheitlichen Probleme der Beschwerdeführenden (Diabetes Mellitus Typ 2, Adipositas, Verdacht auf Plantarfasziitis sowie plantarer und dorsaler Fersensporn, psychische Belastung bei schwieriger Familiensituation, Verdacht auf Schlafapnoe-Syndrom und Schlafstörungen [Beschwerdeführer 1], Verdacht auf sonstige emotionale Störungen des Kindesalters [Beschwerdeführerin 2], hochgradiger Verdacht auf tiefgreifende Entwicklungsstörung aus dem autistischen Spektrum sowie Eisenmangelanämie [Beschwerdeführer 3]) berücksichtigt und rechtsprechungskonform gewürdigt. Schliesslich hat die Vorinstanz in rechtsfehlerfreier Ausübung des ihr nach Art. 17 Abs. 1 Dublin-III-VO und Art. 29a Abs. 3 AsylV 1 zukommenden Ermessens von einem Selbsteintritt der Schweiz abgesehen. Sie ist demnach zu Recht in Anwendung von Art. 31a Abs. 1 Bst. b AsylG auf die Asylgesuche der Beschwerdeführenden nicht eingetreten und hat in Anwendung von Art. 44 AsylG ihre Wegweisung nach Kroatien angeordnet. Zur näheren Begründung ist auf die korrekten vorinstanzlichen Erwägungen zu verweisen.</w:t>
      </w:r>
    </w:p>
    <w:p>
      <w:r>
        <w:rPr>
          <w:b/>
        </w:rPr>
        <w:t>E. 3.2</w:t>
      </w:r>
    </w:p>
    <w:p>
      <w:r>
        <w:t>Verbleibt anzumerken, dass die Vorbringen der Beschwerdeführenden auf Rechtsmittelebene an der Richtigkeit der angefochtenen Verfügung nichts zu ändern vermögen. Es ist daran zu erinnern, dass weder die Dublin-III-VO noch andere völkerrechtliche Bestimmungen den Gesuchstellenden ein Recht einräumen, den für die Durchführung des Asylverfahrens zuständigen Staat selber frei zu wählen (BVGE 2010/45 E. 8.3). Die gesundheitlichen Probleme (vgl. E. 3.1 hiervor), namentlich die Autismuserkrankung des Beschwerdeführers 3, erreichen nicht einen derartigen Schweregrad, der die Annahme rechtfertigen würde, eine Überstellung nach Kroatien sei nicht mit Art. 3 EMRK vereinbar (vgl. BVGE 2011/9 E. 7; Urteile des EGMR Paposhvili gegen Belgien 13. Dezember 2016, Grosse Kammer 41738/10, §§ 180-193 m.H., bestätigt durch Savran gegen Dänemark vom 7. Dezember 2021, Grosse Kammer 57467/15, §§ 121 ff). Im Übrigen verfügt Kroatien zweifellos über eine ausreichende medizinische Infrastruktur für deren Behandlung (vgl. hinsichtlich einer Autismus-Erkrankung insbesondere die Urteile des BVGer F-4077/2025 vom 25. Juni 2025 E. 2.2, F-1144/2024 vom 29. Februar 2024 E. 6.5.3). Darüber hinaus ist Kroatien Signatarstaat des Übereinkommens vom 20. November 1989 über die Rechte des Kindes (Kinderrechtskonvention, KRK, SR 0.107) und hat die entsprechenden völkerrechtlichen Verpflichtungen zu beachten. Entgegen der Ansicht der Beschwerdeführenden steht das Kindeswohl einer Überstellung nach Kroatien nicht entgegen, zumal die KRK keinen unmittelbaren Anspruch auf die Erteilung einer ausländerrechtlichen Bewilligung einräumt, a fortiori also auch nicht einen Anspruch auf Aufenthalt im Staat mit den für ein Kind vorteilhaftesten Bedingungen gewährt (vgl. BGE 143 I 21 E. 5.5.2; 139 I 315 E. 2.4; Urteile des BVGer F-7266/2025 vom 30. September 2025 E. 5.5; F-4789/2025 vom 9. Juli 2025 E. 6.6; je m.w.H.).</w:t>
      </w:r>
    </w:p>
    <w:p>
      <w:r>
        <w:rPr>
          <w:b/>
        </w:rPr>
        <w:t>E. 3.3</w:t>
      </w:r>
    </w:p>
    <w:p>
      <w:r>
        <w:t>Aus den vorangehenden Erwägungen ergibt sich, dass die Rüge der Beschwerdeführenden, wonach die Vorinstanz ihre Untersuchungspflicht in Bezug auf die Situation in Kroatien sowie den gesicherten Zugang zu medizinischer Betreuung (insbesondere für den Beschwerdeführer 3) verletzt habe, unbegründet ist. So wurde der Sachverhalt durch die Vorinstanz genügend festgestellt. Der Eventualantrag auf Rückweisung der Sache an die Vorinstanz ist abzuweisen.</w:t>
      </w:r>
    </w:p>
    <w:p>
      <w:r>
        <w:rPr>
          <w:b/>
        </w:rPr>
        <w:t>E. 4</w:t>
      </w:r>
    </w:p>
    <w:p>
      <w:r>
        <w:t>Nach dem Gesagten ist die angefochtene Verfügung nicht zu beanstanden (Art. 106 Asyl). Die Beschwerde ist abzuweisen.</w:t>
      </w:r>
    </w:p>
    <w:p>
      <w:r>
        <w:rPr>
          <w:b/>
        </w:rPr>
        <w:t>E. 5.1</w:t>
      </w:r>
    </w:p>
    <w:p>
      <w:r>
        <w:t>Mit dem vorliegenden Urteil ist das Beschwerdeverfahren abgeschlossen, weshalb sich das Gesuch um Verzicht auf Erhebung eines Kostenvorschusses als gegenstandslos erweist und der angeordnete Vollzugsstopp mit heutigem Urteil dahinfällt.</w:t>
      </w:r>
    </w:p>
    <w:p>
      <w:r>
        <w:rPr>
          <w:b/>
        </w:rPr>
        <w:t>E. 5.2</w:t>
      </w:r>
    </w:p>
    <w:p>
      <w:r>
        <w:t>Das Gesuch um Gewährung der unentgeltlichen Prozessführung ist abzuweisen, da die Begehren - wie sich aus den vorstehenden Erwägungen ergibt - von vornherein als aussichtslos zu bezeichnen waren. Die Verfahrenskosten sind den unterliegenden Beschwerdeführenden aufzuerlegen (Art. 63 Abs. 1 VwVG) und auf insgesamt Fr. 750.- festzusetzen (Art. 1 ff.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