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F-277/2021 vom 20. Oktober 2021</w:t>
      </w:r>
    </w:p>
    <w:p>
      <w:r>
        <w:t>Bundesverwaltungsgericht, 2021-10-20, FR</w:t>
      </w:r>
    </w:p>
    <w:p>
      <w:r>
        <w:rPr>
          <w:b/>
        </w:rPr>
        <w:t xml:space="preserve">Quelle: </w:t>
      </w:r>
      <w:r>
        <w:t>https://mcp.opencaselaw.ch/entscheid/bvger_F-277_2021</w:t>
      </w:r>
    </w:p>
    <w:p>
      <w:r>
        <w:t>FR: TAF F-277/2021 du 20 octobre 2021</w:t>
      </w:r>
    </w:p>
    <w:p>
      <w:r>
        <w:t>IT: TAF F-277/2021 del 20 ottobre 2021</w:t>
      </w:r>
    </w:p>
    <w:p>
      <w:pPr>
        <w:pStyle w:val="Heading2"/>
      </w:pPr>
      <w:r>
        <w:t>Regeste</w:t>
      </w:r>
    </w:p>
    <w:p>
      <w:r>
        <w:t>Assistance administrative</w:t>
      </w:r>
    </w:p>
    <w:p>
      <w:pPr>
        <w:pStyle w:val="Heading2"/>
      </w:pPr>
      <w:r>
        <w:t>Erwägungen</w:t>
      </w:r>
    </w:p>
    <w:p>
      <w:r>
        <w:rPr>
          <w:b/>
        </w:rPr>
        <w:t>E. 5.1.1</w:t>
      </w:r>
    </w:p>
    <w:p>
      <w:r>
        <w:t>Pour ce qui est des conditions de fond, la recourante argue que les informations la concernant ne rempliraient pas la condition de la pertinence vraisemblable dès lors qu'elle n'aurait pas été fiscalement domiciliée en France durant la période visée, mais au C._______. Selon elle, le code devant prétendument faire état de son domicile en France ne correspond pas à la réalité, de sorte qu'aucun renseignement ne saurait être transmis à l'autorité requérante. A cet égard, elle a exposé avoir signalé à la banque B._______ son changement de résidence pour le C._______ par courrier du 9 novembre 2009.</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apparaît comme étant plausible. Quant à la question de savoir s'il entre en concurrence avec un critère d'assujettissement de l'Etat tiers dans lequel la recourante fait valoir avoir été domiciliée fiscalement durant la période sous contrôle, elle n'a pas à être examinée par la Cour de céans. Il s'agit en effet d'un argument que l'intéressée devra faire valoir, comme déjà relevé ci-dessus, devant les autorités françaises. Au vu de ce qui précède, le grief invoqué par la recourante doit être rejeté.</w:t>
      </w:r>
    </w:p>
    <w:p>
      <w:r>
        <w:rPr>
          <w:b/>
        </w:rPr>
        <w:t>E. 6.1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