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F-2769/2022 vom 4. Juli 2022</w:t>
      </w:r>
    </w:p>
    <w:p>
      <w:r>
        <w:t>Bundesverwaltungsgericht, 2022-07-04, DE</w:t>
      </w:r>
    </w:p>
    <w:p>
      <w:r>
        <w:rPr>
          <w:b/>
        </w:rPr>
        <w:t xml:space="preserve">Quelle: </w:t>
      </w:r>
      <w:r>
        <w:t>https://mcp.opencaselaw.ch/entscheid/bvger_F-2769_2022</w:t>
      </w:r>
    </w:p>
    <w:p>
      <w:r>
        <w:t>FR: TAF F-2769/2022 du 4 juillet 2022</w:t>
      </w:r>
    </w:p>
    <w:p>
      <w:r>
        <w:t>IT: TAF F-2769/2022 del 4 luglio 2022</w:t>
      </w:r>
    </w:p>
    <w:p>
      <w:pPr>
        <w:pStyle w:val="Heading2"/>
      </w:pPr>
      <w:r>
        <w:t>Regeste</w:t>
      </w:r>
    </w:p>
    <w:p>
      <w:r>
        <w:t>Nichteintreten auf Asylgesuch und Wegweisung (Dublin-Verfahren - Art. 31a Abs. 1 Bst. b AsylG)</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F-2769/2022 Seite 4</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französischen Behörden innert der in Art. 25 Abs. 1 Dublin- III-VO festgelegten Frist dem Wiederaufnahmegesuch der Vorinstanz zu- gestimmt haben, ist die Zuständigkeit Frankreichs grundsätzlich gegeben.</w:t>
      </w:r>
    </w:p>
    <w:p>
      <w:r>
        <w:rPr>
          <w:b/>
        </w:rPr>
        <w:t>E. 3.3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w:t>
      </w:r>
    </w:p>
    <w:p>
      <w:r>
        <w:t>Nachfolgend ist zu prüfen, ob das Selbsteintrittsrecht nach Art. 17 Abs. 1 erster Satz Dublin-III-VO auszuüben ist.</w:t>
      </w:r>
    </w:p>
    <w:p>
      <w:r>
        <w:rPr>
          <w:b/>
        </w:rPr>
        <w:t>E. 4.1</w:t>
      </w:r>
    </w:p>
    <w:p>
      <w:r>
        <w:t>Soweit die Beschwerdeführerin geltend macht, nicht in den Senegal zurückkehren zu können, ist darauf nicht einzugehen, da eine allfällige Wegweisung in den Senegal nicht Gegenstand des vorliegenden Verfah- rens bildet.</w:t>
      </w:r>
    </w:p>
    <w:p>
      <w:r>
        <w:t>F-2769/2022 Seite 5</w:t>
      </w:r>
    </w:p>
    <w:p>
      <w:r>
        <w:rPr>
          <w:b/>
        </w:rPr>
        <w:t>E. 4.2</w:t>
      </w:r>
    </w:p>
    <w:p>
      <w:r>
        <w:t>Die Beschwerdeführerin führt an, sie könne mit ihren Kindern nicht nach Frankreich zurückkehren. Dort hätten sie unter unzumutbaren Ver- hältnissen leben müssen. Ihre Wohnsituation, die medizinische Betreuung und Unterstützung in Frankreich seien für sie unzureichend.</w:t>
      </w:r>
    </w:p>
    <w:p>
      <w:r>
        <w:rPr>
          <w:b/>
        </w:rPr>
        <w:t>E. 4.2.1</w:t>
      </w:r>
    </w:p>
    <w:p>
      <w:r>
        <w:t>Die Beschwerdeführerin vermag in Bezug auf die Zustände in Frank- reich nicht darzutun, dass die sie und ihre Töchter bei einer Rückführung zu erwartenden Bedingungen derart schlecht sind, dass sie zu einer Ver- letzung von Art. 4 der EU-Grundrechtecharta beziehungsweise Art. 3 EMRK führen könnten. Bei einer allfälligen vorübergehenden Einschrän- kung der ihnen zustehenden Aufnahmebedingungen könnten sie sich im Übrigen nötigenfalls an die französischen Behörden wenden und ihre Rechte auf dem Rechtsweg einfordern (vgl. Art. 26 der Richtlinie des Eu- ropäischen Parlaments und des Rates 2013/33/EU vom 26. Juni 2013 zur Festlegung von Normen für die Aufnahme von Personen, die internationa- len Schutz beantragen [Aufnahmerichtlinie]).</w:t>
      </w:r>
    </w:p>
    <w:p>
      <w:r>
        <w:rPr>
          <w:b/>
        </w:rPr>
        <w:t>E. 4.2.2</w:t>
      </w:r>
    </w:p>
    <w:p>
      <w:r>
        <w:t>Des Weiteren liegen keine konkreten Anhaltspunkte vor, wonach die Gesundheit der Beschwerdeführerin und ihrer Kinder bei einer Überstel- lung nach Frankreich ernsthaft gefährdet würde. Die vor der Vorinstanz geltend gemachten Rückenschmerzen der Beschwerdeführerin stellen keine gravierende Erkrankung dar und können in Frankreich behandelt werden. In Bezug auf die Tochter der Beschwerdeführerin gilt es festzuhal- ten, dass die im erstinstanzlichen Verfahren geltend gemachte, aber nicht dokumentierte (…) nicht akut zu sein scheint, da diese bisher nicht behan- delt worden ist. Sollte die Beschwerdeführerin oder sollten ihre Kinder nach der Rückkehr nach Frankreich eine medizinische Behandlung benötigen, ist darauf hinzuweisen, dass die Mitgliedstaaten verpflichtet sind, den An- tragstellern die erforderliche medizinische Versorgung, die zumindest die Notversorgung und die unbedingt erforderliche Behandlung von Krankhei- ten und schweren psychischen Störungen umfasst, zugänglich zu machen (Art. 19 Abs. 1 Aufnahmerichtlinie). Antragstellenden Personen mit beson- deren Bedürfnissen ist die erforderliche medizinische oder sonstige Hilfe, einschliesslich psychologischer Betreuung, zu gewähren (Art. 19 Abs. 2 Aufnahmerichtlinie).</w:t>
      </w:r>
    </w:p>
    <w:p>
      <w:r>
        <w:rPr>
          <w:b/>
        </w:rPr>
        <w:t>E. 4.3</w:t>
      </w:r>
    </w:p>
    <w:p>
      <w:r>
        <w:t>Die Vorinstanz hat somit das Selbsteintrittsrecht von Art. 17 Dublin-III- VO sowie Art. 29a Abs. 3 AsylV 1 zu Recht nicht ausgeübt. Weder ist die Schweiz völkerrechtlich verpflichtet, auf die Asylgesuche einzutreten, noch liegen humanitäre Gründe vor, welche einen Selbsteintritt nahelegen wür- den.</w:t>
      </w:r>
    </w:p>
    <w:p>
      <w:r>
        <w:t>F-2769/2022 Seite 6</w:t>
      </w:r>
    </w:p>
    <w:p>
      <w:r>
        <w:rPr>
          <w:b/>
        </w:rPr>
        <w:t>E. 5</w:t>
      </w:r>
    </w:p>
    <w:p>
      <w:r>
        <w:t>Die Vorinstanz ist demnach zu Recht gestützt auf Art. 31a Abs. 1 Bst. b AsylG auf die Asylgesuche der Beschwerdeführerin und ihrer Kinder nicht eingetreten und hat die Wegweisung nach Frankreich angeordnet.</w:t>
      </w:r>
    </w:p>
    <w:p>
      <w:r>
        <w:rPr>
          <w:b/>
        </w:rPr>
        <w:t>E. 6</w:t>
      </w:r>
    </w:p>
    <w:p>
      <w:r>
        <w:t>Nach dem Gesagten ist die Beschwerde abzuweisen. Mit dem vorliegen- den Urteil fällt der am 27. Juni 2022 angeordnete Vollzugsstopp dahin. Das Gesuch um Erteilung der aufschiebenden Wirkung ist gegenstandslos ge- worden.</w:t>
      </w:r>
    </w:p>
    <w:p>
      <w:r>
        <w:rPr>
          <w:b/>
        </w:rPr>
        <w:t>E. 7</w:t>
      </w:r>
    </w:p>
    <w:p>
      <w:r>
        <w:t>Das Gesuch um Gewährung der unentgeltlichen Prozessführung (Art. 65 Abs. 1 VwVG) ist abzuweisen, da die Begehren – wie sich aus den vorste- henden Erwägungen ergibt – als aussichtslos zu bezeichnen sind. Die Ver- fahrenskosten sind der Beschwerdeführerin aufzuerlegen (Art. 63 Abs. 1 VwVG) und auf insgesamt Fr. 750.– festzusetzen (Art. 1–3 des Reglements vom 21. Februar 2008 über die Kosten und Entschädigungen vor dem Bun- desverwaltungsgericht [VGKE, SR 173.320.2]).</w:t>
      </w:r>
    </w:p>
    <w:p>
      <w:r>
        <w:rPr>
          <w:b/>
        </w:rPr>
        <w:t>E. 8</w:t>
      </w:r>
    </w:p>
    <w:p>
      <w:r>
        <w:t>Dieses Urteil ist endgültig (Art. 83 Bst. d Ziff. 1 BGG).</w:t>
      </w:r>
    </w:p>
    <w:p>
      <w:r>
        <w:t>(Dispositiv nachfolgende Seite)</w:t>
      </w:r>
    </w:p>
    <w:p>
      <w:r>
        <w:t>F-2769/2022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