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F-2763/2026 vom 24. April 2026</w:t>
      </w:r>
    </w:p>
    <w:p>
      <w:r>
        <w:t>Bundesverwaltungsgericht, 2026-04-24, FR</w:t>
      </w:r>
    </w:p>
    <w:p>
      <w:r>
        <w:rPr>
          <w:b/>
        </w:rPr>
        <w:t xml:space="preserve">Quelle: </w:t>
      </w:r>
      <w:r>
        <w:t>https://mcp.opencaselaw.ch/entscheid/bvger_F-2763_2026</w:t>
      </w:r>
    </w:p>
    <w:p>
      <w:r>
        <w:t>FR: TAF F-2763/2026 du 24 avril 2026</w:t>
      </w:r>
    </w:p>
    <w:p>
      <w:r>
        <w:t>IT: TAF F-2763/2026 del 24 aprile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[RS 173.110]), exception non réalisée en l'espèce.</w:t>
      </w:r>
    </w:p>
    <w:p>
      <w:r>
        <w:rPr>
          <w:b/>
        </w:rPr>
        <w:t>E. 1.2</w:t>
      </w:r>
    </w:p>
    <w:p>
      <w:r>
        <w:t>L'intéressé a qualité pour recourir (art. 48 al. 1 PA [RS 172.021]). Présenté dans la forme et le délai prescrits par la loi, le recours est recevable (art. 52 al. 1 PA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2.1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En particulier, si le demandeur est titulaire d'un visa en cours de validité, l'Etat membre qui l'a délivré est, en principe, responsable de l'examen de la demande de protection internationale (art. 12 par. 2 du règlement Dublin III). Il en va de même si le demandeur est titulaire d'un ou de plusieurs visas périmés depuis moins de six mois lui ayant effectivement permis d'entrer sur le territoire d'un Etat membre, aussi longtemps que le demandeur n'a pas quitté le territoire des Etats membres (art. 12 par. 4 du règlement Dublin IIII).</w:t>
      </w:r>
    </w:p>
    <w:p>
      <w:r>
        <w:rPr>
          <w:b/>
        </w:rPr>
        <w:t>E. 2.3</w:t>
      </w:r>
    </w:p>
    <w:p>
      <w:r>
        <w:t>En l'occurrence, il n'est pas contesté que l'intéressée a été titulaire d'un visa français valable jusqu'au 5 août 2025. Par ailleurs, à la suite de la requête soumise par le SEM dans le délai prévu à l'art. 21 par. 1 RD III, les autorités françaises compétentes ont explicitement accepté la prise en charge de l'intéressée, dans le respect du délai fixé à l'art. 22 par. 1 RD III. Ainsi, la France est responsable du traitement de la demande d'asile de la recourante, ce que cette dernière ne conteste pas en tant que tel.</w:t>
      </w:r>
    </w:p>
    <w:p>
      <w:r>
        <w:rPr>
          <w:b/>
        </w:rPr>
        <w:t>E. 3.1</w:t>
      </w:r>
    </w:p>
    <w:p>
      <w:r>
        <w:t>Pour s'opposer à son transfert, l'intéressée a, en substance, fait valoir que, en raison de ses problèmes de santé et ses relations conflictuelles avec des membres de sa famille, elle ne pouvait retourner en France.</w:t>
      </w:r>
    </w:p>
    <w:p>
      <w:r>
        <w:rPr>
          <w:b/>
        </w:rPr>
        <w:t>E. 3.2</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2017 VI/5 consid. 8.5.2).</w:t>
      </w:r>
    </w:p>
    <w:p>
      <w:r>
        <w:rPr>
          <w:b/>
        </w:rPr>
        <w:t>E. 3.3</w:t>
      </w:r>
    </w:p>
    <w:p>
      <w:r>
        <w:t>S'agissant de l'état de santé de la recourante, il ressort du dossier les diagnostics suivants pour lesquels elle suit des traitements médicamenteux : troubles du sommeil, dépression et trouble anxieux. A cet égard, cette dernière indique souffrir de crises de paniques récurrentes et de cauchemars. Sans vouloir minimiser les affections dont souffre l'intéressée, il ne s'agit pas de problèmes de santé d'une gravité telle que l'exécution de son transfert vers la France serait illicite au sens restrictif de la jurisprudence constante (cf. arrêts de la Cour européenne des droits de l'homme [Grande Chambre] Paposhvili c. Belgique du 13 décembre 2016, requête no 41738/10 ; Savran c. Danemark du 7 décembre 2021, requête no 57467/15, par. 122 à 139 ; ATAF 2017 VI/7 consid. 6.2), d'autant moins que les traitements prescrits pourront être poursuivis en France. En effet, ce pays dispose de structures médicales avancées (cf. arrêt du TAF F-5612/2025 du 6 août 2025 consid. 4.3.2 et jurisp. cit.) qui permettent la prise en charge médicale.</w:t>
      </w:r>
    </w:p>
    <w:p>
      <w:r>
        <w:rPr>
          <w:b/>
        </w:rPr>
        <w:t>E. 3.4</w:t>
      </w:r>
    </w:p>
    <w:p>
      <w:r>
        <w:t>Par ailleurs, la France étant liée par la directive Accueil (référence complète : directive no 2013/33/UE du Parlement européen et du Conseil du 26 juin 2013 établissant des normes pour l'accueil des personnes demandant la protection internationale [refonte ; JO L 180 du 29.06.2013]),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Pour en bénéficier, il appartiendra ainsi à la recourante de déposer une demande d'asile dès son arrivée dans ce pays.</w:t>
      </w:r>
    </w:p>
    <w:p>
      <w:r>
        <w:rPr>
          <w:b/>
        </w:rPr>
        <w:t>E. 3.5</w:t>
      </w:r>
    </w:p>
    <w:p>
      <w:r>
        <w:t>S'agissant des conditions de vie difficiles auxquelles elle aura à faire face en France, la recourante n'a pas apporté d'éléments objectifs, concrets et sérieux, permettant d'admettre qu'elle serait exposée à des difficultés telles au point de constituer un traitement contraire à l'art. 3 CEDH. De surcroit, elle n'a, à aucun moment, invoqué qu'elle serait - en tant que requérante d'asile - durablement privée de tout accès à des condition matérielles minimales d'accueil prévues par la directive Accueil et qu'elle ne pourrait pas y bénéficier de l'aide dont elle pourrait avoir besoin. Si l'intéressée devait toutefois, à son retour en France, et après avoir déposé une demande d'asile auprès des autorités de ce pays, estimer que cet Etat ne respecte pas les directives européennes en matière d'asile, il lui appartiendra de faire valoir ses droits directement auprès des autorités de ce pays en usant des voies de droit adéquates.</w:t>
      </w:r>
    </w:p>
    <w:p>
      <w:r>
        <w:rPr>
          <w:b/>
        </w:rPr>
        <w:t>E. 3.6</w:t>
      </w:r>
    </w:p>
    <w:p>
      <w:r>
        <w:t>En ce qui concerne les craintes de la recourante d'être mise à l'écart par sa famille en raison de sa relation avec un homme d'origine étrangère en Suisse, il appartient en premier lieu à l'intéressée de faire connaître ses inquiétudes aux autorités françaises compétentes si elle souhaite bénéficier d'un soutien particulier. Dans ce contexte, la recourante a en outre expressément souligné ne pas craindre pour son intégrité physique mais avant tout redouter une potentielle confrontation avec sa famille pouvant lui provoquer une détresse psychique. En tout état de cause, rien n'indique que les autorités françaises ne soient pas capables ou refuseraient de lui offrir, au besoin, une protection, à l'instar de celle qu'elle pourrait obtenir en Suisse. En effet, la France, en tant qu'Etat de droit, est dotée d'autorités policières et judiciaires opérationnelles qui sont en mesure d'offrir à la recourante une protection adéquate en cas de conflit grave avec des tiers.</w:t>
      </w:r>
    </w:p>
    <w:p>
      <w:r>
        <w:rPr>
          <w:b/>
        </w:rPr>
        <w:t>E. 4.1</w:t>
      </w:r>
    </w:p>
    <w:p>
      <w:r>
        <w:t>Il s'ensuit que le transfert de l'intéressée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la recourante de voir sa procédure d'asile menée par la Suisse.</w:t>
      </w:r>
    </w:p>
    <w:p>
      <w:r>
        <w:rPr>
          <w:b/>
        </w:rPr>
        <w:t>E. 4.2</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20 avril 2026 sont caduques.</w:t>
      </w:r>
    </w:p>
    <w:p>
      <w:r>
        <w:rPr>
          <w:b/>
        </w:rPr>
        <w:t>E. 7</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