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F-2761/2017 vom 18. Juni 2019</w:t>
      </w:r>
    </w:p>
    <w:p>
      <w:r>
        <w:t>Bundesverwaltungsgericht, 2019-06-18, FR</w:t>
      </w:r>
    </w:p>
    <w:p>
      <w:r>
        <w:rPr>
          <w:b/>
        </w:rPr>
        <w:t xml:space="preserve">Quelle: </w:t>
      </w:r>
      <w:r>
        <w:t>https://mcp.opencaselaw.ch/entscheid/bvger_F-2761_2017</w:t>
      </w:r>
    </w:p>
    <w:p>
      <w:r>
        <w:t>FR: TAF F-2761/2017 du 18 juin 2019</w:t>
      </w:r>
    </w:p>
    <w:p>
      <w:r>
        <w:t>IT: TAF F-2761/2017 del 18 giugno 2019</w:t>
      </w:r>
    </w:p>
    <w:p>
      <w:pPr>
        <w:pStyle w:val="Heading2"/>
      </w:pPr>
      <w:r>
        <w:t>Regeste</w:t>
      </w:r>
    </w:p>
    <w:p>
      <w:r>
        <w:t>Admission provisoire (divers)</w:t>
      </w:r>
    </w:p>
    <w:p>
      <w:pPr>
        <w:pStyle w:val="Heading2"/>
      </w:pPr>
      <w:r>
        <w:t>Erwägungen</w:t>
      </w:r>
    </w:p>
    <w:p>
      <w:r>
        <w:rPr>
          <w:b/>
        </w:rPr>
        <w:t>E. 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le SEM (art. 33 let. d LTAF) en matière d'admission provisoire sont susceptibles de recours au Tribunal, qui statue définitivement (art. 1 al. 2 LTAF en relation avec l'art. 83 let. c ch. 2 de la loi du 17 juin 2005 sur le Tribunal fédéral [LTF, RS 173.110]). A moins que la LTAF n'en dispose autrement, la procédure devant le Tribunal est régie par la PA (art. 37 LTAF). A._______ a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1C_214/2015 du 6 novembre 2015 consid. 2.2.2). Aussi peut-elle admettre ou rejeter le pourvoi pour d'autres motifs que ceux invoqués. Dans son arrêt, elle prend en considération l'état de fait existant au moment où elle statue (ATAF 2014/1 consid. 2).</w:t>
      </w:r>
    </w:p>
    <w:p>
      <w:r>
        <w:rPr>
          <w:b/>
        </w:rPr>
        <w:t>E. 3</w:t>
      </w:r>
    </w:p>
    <w:p>
      <w:r>
        <w:t>A titre liminaire, il est rappelé que la décision prononçant le renvoi de Suisse de la recourante est entrée en force et que l'objet du présent litige se limite uniquement à l'exécution du renvoi de Suisse. L'exécution du renvoi est ordonnée si elle est licite, raisonnablement exigible et possible. Si l'une de ces conditions n'est pas réunie, l'admission provisoire doit être prononcée. Celle-ci est réglée par les articles 83 et 84 de la loi fédérale du 16 décembre 2005 sur les étrangers et l'intégration (LEI, RS 142.20). L'admission provisoire peut être proposée par les autorités cantonales (art. 83 al. 6 LEI). Le SEM décide d'admettre provisoirement l'étranger si l'exécution du renvoi ou de l'expulsion n'est pas possible, n'est pas licite ou ne peut être raisonnablement exigée (art. 83 al. 1 LEI). L'exécution du renvoi n'est pas possible lorsque l'étranger ne peut pas quitter la Suisse pour son Etat d'origine, son Etat de provenance ou un Etat tiers, ni être renvoyé dans un de ces Etats (art. 83 al. 2 LEI). L'exécution n'est pas licite lorsque le renvoi de l'étranger dans son Etat d'origine ou de provenance ou dans un Etat tiers est contraire aux engagements de la Suisse relevant du droit international (art. 83 al. 3 LEI). L'exécution de la décision peut ne pas être raisonnablement exigée si le renvoi de l'étranger dans son pays d'origine ou de provenance le met concrètement en danger, par exemple en cas de guerre, de guerre civile, de violence généralisée ou de nécessité médicale (art. 83 al. 4 LEI). Les trois conditions d'empêchement explicitées à l'art. 83 al. 2 à 4 LEI (illicéité, inexigibilité et impossibilité), sont de nature alternative, c'est à dire qu'il suffit que l'une d'elles soit réalisée pour que le renvoi soit inexécutable.</w:t>
      </w:r>
    </w:p>
    <w:p>
      <w:r>
        <w:rPr>
          <w:b/>
        </w:rPr>
        <w:t>E. 4</w:t>
      </w:r>
    </w:p>
    <w:p>
      <w:r>
        <w:t>En l'occurrence, c'est sur la question de l'exigibilité que le Tribunal doit en premier lieu porter son examen.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aussi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Cela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8.2 ; arrêts du TAF F-6101/2016 du 18 janvier 2017 consid. 6.1 etC-2145/2014 du 26 mars 2015 consid. 6.2.3). Dans ce contexte, il est inévitable qu'une partie des critères propres aux cas individuels d'une extrême gravité (art. 30 al. 1 let. b LEI ) se recoupent, tout au moins partiellement, avec ceux qui président à l'examen de l'exigibilité d'un renvoi au sens de l'art. 83 al. 4 LEI: le soutien familial dont bénéficie un ressortissant étranger atteint dans sa santé, et plus généralement l'encadrement social dont il peut disposer, doivent notamment être pris en compte sous l'angle du danger concret auquel l'intéressé serait exposé en cas de renvoi dans son pays d'origine (arrêts du TAF C-188/2014 consid. 5.4 et 8.3.5 etC-2145/2014 consid. 6.2.3.2 et 6.2.3.3).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 81 s. et 87).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peut trouver en Suisse (ATAF 2011/50 consid. 8.3 et 2009/2 consid. 9.3.2).</w:t>
      </w:r>
    </w:p>
    <w:p>
      <w:r>
        <w:rPr>
          <w:b/>
        </w:rPr>
        <w:t>E. 4.1</w:t>
      </w:r>
    </w:p>
    <w:p>
      <w:r>
        <w:t>En l'occurrence, il est constant que la Bulgarie ne connaît pas une situation de guerre, de guerre civile ou de violence généralisée qui permettrait de présumer d'office de l'existence d'une mise en danger concrète. Cela étant, il ne faut pas perdre de vue que la recourante appartient à la minorité Rom laquelle est soumise à des violences ethniques et à un niveau élevé de discrimination, tant de la part des autorités, que de la société civile et de la presse (United States Departement of State [USDOS], Bulgaria 2018 Human Rights Report, 13.03.2019, &lt; https://www.state.gov/j/drl/rls/hrrpt/2018/eur/289113.htm &gt;, consulté le 14.05.2019). Face à ces phénomènes, une absence significative de protection judiciaire et policière efficace a été relevée (Commission de l'immigration et du statut de réfugié du Canada [CISR], Bulgarie: information sur la violence contre les Roms, y compris celle infligée par des groupes extrémistes; la protection offerte aux Roms par l'Etat et le traitement que leur réserve la police, 10.11.2015, https://irb-cisr.gc.ca/fr/renseignements-pays/rdi/Pages/index.aspx?doc=456235&amp;pls=1 &gt;, consulté le 14.05.2019 ; arrêts de la CourEDH Paraskeva Todorova c/ Bulgarie du 25 mars 2010, 37193/07 et Natchova et al. c/ Bulgarie du 6 juillet 2005, 43577/98 et 43579/98). En outre, depuis les élections législatives de 2017 et la formation d'un gouvernement de coalition avec les Patriotes unis - dont la campagne était fondée sur une rhétorique anti-Rom, antisémite et homophobe - les perspectives concernant le traitement des minorités, notamment les Roms, semblent s'empirer (Bulgarian Helsinki Committee (ed.), Human Rights in Bulgaria in 2017, 01.06.2018, &lt; http://www.bghelsinki.org/media/uploads/annual_reports/annual_bhc_report_2017_issn-2367-6930_en.pdf &gt;, consulté le 14.05.2019).</w:t>
      </w:r>
    </w:p>
    <w:p>
      <w:r>
        <w:rPr>
          <w:b/>
        </w:rPr>
        <w:t>E. 4.2</w:t>
      </w:r>
    </w:p>
    <w:p>
      <w:r>
        <w:t>Dans ce contexte général, il sied d'examiner si, au regard de la situation médicale et personnelle de la recourante, un retour en Bulgarie l'exposerait à une mise en danger concrète et si l'exécution de son renvoi de Suisse s'avèrerait dès lors, sous cet angle, inexigible.</w:t>
      </w:r>
    </w:p>
    <w:p>
      <w:r>
        <w:rPr>
          <w:b/>
        </w:rPr>
        <w:t>E. 4.2.1</w:t>
      </w:r>
    </w:p>
    <w:p>
      <w:r>
        <w:t>A._______ est âgée de 50 ans. Elle a une soeur et un frère qui vivent tous deux en Bulgarie, pays qu'elle a quitté pour rejoindre la Suisse en 2009. Elle a deux filles, âgées de 33 et 31 ans et nées d'une première union ainsi que deux fils, âgés de 25 et 22 ans, issus d'une relation postérieure avec son second compagnon, B._______. Ce dernier l'a séquestrée, battue et violée durant des années, ce qui n'est nullement contesté par le SEM. Près d'une année après son arrivée en Suisse, elle a été mise au bénéfice, le 18 février 2010, d'une autorisation de séjour de longue durée dont le renouvellement a été refusé en date du 5 décembre 2014, étant donné qu'elle ne pouvait justifier ni d'une situation d'indépendante ni d'un emploi. Un cousin, dont elle se dit proche, vit dans la région de Montreux. La recourante n'a pas fait état d'autres relations particulières en Suisse. A teneur des pièces figurant au dossier, il apparaît qu'aucun membre de la famille de la recourante en Bulgarie ne serait disposé à l'accueillir, soit, pour ses deux filles, en raison des familles qu'elles ont déjà à charge, soit, s'agissant de sa soeur et de son frère, parce qu'ils sont déjà eux-mêmes à charge de leurs familles respectives. En outre, les deux filles de l'intéressée vivent à proximité du domicile de B._______. De plus, compte tenu des liens qui unissent encore aujourd'hui ce dernier et leurs fils, on ne saurait raisonnablement attendre de la recourante qu'elle imagine rejoindre l'un d'entre eux et cela d'autant moins que B._______ a déjà démontré par le passé qu'il n'hésitait pas à user de moyens de coercition afin que ses fils le renseignent sur le lieu de séjour de leur mère.</w:t>
      </w:r>
    </w:p>
    <w:p>
      <w:r>
        <w:rPr>
          <w:b/>
        </w:rPr>
        <w:t>E. 4.2.2</w:t>
      </w:r>
    </w:p>
    <w:p>
      <w:r>
        <w:t>Bien que la Bulgarie soit signataire de la Convention du 18 décembre 1979 sur l'élimination de toutes les formes de discrimination à l'égard des femmes (RS 0.108), force est de constater que le Comité ad hoc du Haut-Commissariat des Nations Unies aux droits de l'homme (ci-après : le CEDAW) a constaté que la Bulgarie avait failli aux obligations ressortant de la Convention, particulièrement en ce qui concerne les violences faites aux femmes (communication du CEDAW n° 32/2011 du 23 juillet 2012 consid. 8.8 et n°20/2008 du 15 octobre 2008 consid. 9.15). La Bulgarie dispose certes d'une législation de protection contre la violence domestique (ci-après : LPDV) depuis 2005, mais de l'avis du Conseil de l'Europe, celle-ci n'offre pas la protection efficace attendue de la communauté internationale (Conseil de l'Europe, Legislative review of Bulgarian criminal law in light of the standards established by the Council of Europe Convention on Preventing and Combating Violence against Women and Domestic Violence, 28.06.2016 https://rm.coe.int/09000016806922ac , consulté le 14 mai 2019). A ce propos, on peut notamment relever que les différents éléments du dispositif de protection, comme par exemple une mesure d'éloignement, ne peuvent intervenir qu'après la commission de faits de violences et ce pour autant que la dénonciation soit faite dans les 30 jours suivant le ou les actes, autrement dit la protection n'est que réactive et ne permet pas d'anticiper les faits, mais uniquement d'en prévenir de nouveaux. De surcroit, les éventuelles mesures de protection ne sont prononcées que pour une durée déterminée. Quoiqu'il en soit, force est de constater que la législation bulgare n'a été d'aucun secours à la recourante qui a subi des actes de violence perpétrés par son compagnon postérieurement à 2005. En outre, ni la violence contre les femmes ni la violence domestique - qui restent largement répandues - ne constituent des infractions pénales spécifiques et ne sont que rarement poursuivies en tant qu'infractions de droit commun (ibidem). Enfin, dans un arrêt du 27 juillet 2018, la Cour constitutionnelle bulgare a jugé que la Convention du Conseil de l'Europe du 11 mai 2011 sur la prévention et la lutte contre la violence à l'égard des femmes et la violence domestique (Convention d'Istanbul ; RS 0.311.35) était contraire à la Constitution bulgare, et qu'elle ne pouvait donc pas donc pas être ratifiée, au motif qu'elle méconnaissait la distinction constitutionnelle opérée entre la femme et l'homme (décision no 13 de la Cour constitutionnelle bulgare du 27 juillet 2018 dans l'affaire 3/2018). Dans ces circonstances, il apparaît que le renvoi de la recourante dans son pays d'origine la placerait dans une situation extrêmement précaire et, compte tenu des menaces persistantes proférées par B._______, signifierait pour elle, à ne pas en douter, une vie passée dans la crainte permanente de voir son passé de maltraitances la submerger à nouveau. En l'absence d'un encadrement étatique permettant d'écarter la plausibilité de nouvelles menaces et violences de la part de son ex-compagnon et en considération de son appartenance à la minorité Rom, il apparaît donc que, de ce point de vue, elle se trouve dans une situation de vulnérabilité accrue.</w:t>
      </w:r>
    </w:p>
    <w:p>
      <w:r>
        <w:rPr>
          <w:b/>
        </w:rPr>
        <w:t>E. 4.2.3</w:t>
      </w:r>
    </w:p>
    <w:p>
      <w:r>
        <w:t>S'agissant des perspectives de réintégrations sociale et économique de la recourante en Bulgarie, force est de constater que si un certain nombre des membres de sa famille est présent dans son pays d'origine, aucun n'est en mesure de lui fournir un véritable appui à la réintégration si elle devait y retourner. En effet, comme mentionné ci-dessus, les membres de sa fratrie ont tous leurs propres familles à soutenir ou qui les soutiennent. Ses deux filles, ainsi que son frère, vivent à proximité de B._______ et ses deux fils ont par le passé manifesté leur loyauté envers ce dernier. En incapacité de travail au moins partiel, sans véritable formation ni réseau professionnels et devant faire face à des discriminations et préjugés négatifs généralisés sur le marché du travail (CISR, Bulgarie: information sur la situation des Roms, y compris sur l'accès à l'emploi, au logement, aux services de santé et à l'éducation; les efforts déployés par l'État afin d'améliorer la situation des Roms, 02.11.2015, https://irb-cisr.gc.ca/fr/renseignements-pays/rdi/Pages/index.aspx?doc=456234&amp;pls=1 , consulté le 16.05.2019), la recourante n'aurait sans aucun doute que peu de chances de trouver un emploi lui permettant de mener une existence digne et se trouverait ainsi plongée dans une profonde précarité, étant entendu que 68.1% des Roms sont tenus à l'écart du système de sécurité sociale (ibidem). En outre, comme soulevé à juste titre par la recourante dans son écrit du 7 novembre 2018 en référence à l'attestation produite par Caritas, le comportement dans la communauté rom face au statut de victime de sévices psychologiques, physiques et sexuels tendent bien plutôt vers l'ostracisation et le rejet que vers l'inclusion et l'accueil.</w:t>
      </w:r>
    </w:p>
    <w:p>
      <w:r>
        <w:rPr>
          <w:b/>
        </w:rPr>
        <w:t>E. 4.2.4</w:t>
      </w:r>
    </w:p>
    <w:p>
      <w:r>
        <w:t>Si l'état de santé physique de la recourante paraît s'améliorer, il ne faut perdre de vue que celui-ci appelle encore une surveillance, constituée d'examens médicaux espacés aujourd'hui de plusieurs mois. Aucun élément du dossier n'indique que ce suivi ne pourrait pas être effectué dans le respect des standards minimaux en Bulgarie. Toutefois, l'accès aux services de santé gratuits est problématique pour les membres de la minorité rom dans cet Etat (CISR, op. cit.). En ce qui concerne l'état de santé psychique de la recourante, le Tribunal ne saurait suivre l'appréciation du SEM selon laquelle les symptômes ressentis actuellement par l'intéressée sont dus à la perspective de devoir quitter la Suisse. En effet, d'une part, l'existence de ces symptômes est documentée depuis de longue date et, d'autre part, cette appréciation est contredite par les certificats médicaux versés au dossier qui imputent l'apparition d'un syndrome de stress post-traumatique et l'épisode dépressif moyen aux violences infligées par B._______. Le Tribunal ne comprend pas de quelle autorité médicale le SEM pourrait se prévaloir pour écarter, sans autre explication, l'avis de spécialistes renseignés. En l'occurrence, s'il existe en Bulgarie des praticiens à même d'accompagner la recourante sur le chemin de la guérison, il n'y a aucune garantie qu'elle puisse effectivement accéder à leurs services (CISR, op. cit.). En outre, comme relevé dans les certificats médicaux versés au dossier, un retour de l'intéressée dans son pays d'origine serait plutôt à prescrire d'un point de vue thérapeutique.</w:t>
      </w:r>
    </w:p>
    <w:p>
      <w:r>
        <w:rPr>
          <w:b/>
        </w:rPr>
        <w:t>E. 4.3</w:t>
      </w:r>
    </w:p>
    <w:p>
      <w:r>
        <w:t>Compte tenu de l'ensemble des circonstances, qui convergent en un tableau très exceptionnel, et en considération de la situation particulière de la recourante, de son état de santé, des souffrances et traumatismes qu'elle a endurés en Bulgarie et des perspectives qui s'offrent à elle en cas de retour dans son pays d'origine, l'exécution du renvoi ne saurait être considérée comme raisonnablement exigible. Vu les motifs exposés précédemment et même s'il s'agit d'un cas limite, la décision attaquée doit être annulée, le SEM étant invité à régler les conditions de séjour de la recourante conformément aux dispositions régissant l'admission provisoire.</w:t>
      </w:r>
    </w:p>
    <w:p>
      <w:r>
        <w:rPr>
          <w:b/>
        </w:rPr>
        <w:t>E. 5</w:t>
      </w:r>
    </w:p>
    <w:p>
      <w:r>
        <w:t>Le recours est en conséquence admis. Vu l'issue de la cause, il n'est pas perçu de frais de procédure (art. 63 al. 1 et 2 PA en relation avec les art. 1 à 3 du règlement du 21 février 2008 concernant les frais, dépens et indemnités fixés par le Tribunal administratif fédéral [FITAF, RS 173.320.2]). Obtenant pleinement gain de cause, la recourante a droit à des dépens (art. 64 al. 1 PA en relation avec l'art. 7 FITAF). En l'absence de décompte de prestations, le Tribunal fixe l'indemnité sur la base du dossier (art. 14 al. 2 FITAF). Au vu de l'ensemble des circonstances du cas, de l'importance de l'affaire, du degré de difficulté de cette dernière et de l'ampleur du travail accompli par le mandataire, le Tribunal estime, au regard des art. 8ss FITAF, que le versement d'un montant de 2'200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