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F-2758/2021 vom 21. Dezember 2022</w:t>
      </w:r>
    </w:p>
    <w:p>
      <w:r>
        <w:t>Bundesverwaltungsgericht, 2022-12-21, DE</w:t>
      </w:r>
    </w:p>
    <w:p>
      <w:r>
        <w:rPr>
          <w:b/>
        </w:rPr>
        <w:t xml:space="preserve">Quelle: </w:t>
      </w:r>
      <w:r>
        <w:t>https://mcp.opencaselaw.ch/entscheid/bvger_F-2758_2021</w:t>
      </w:r>
    </w:p>
    <w:p>
      <w:r>
        <w:t>FR: TAF F-2758/2021 du 21 décembre 2022</w:t>
      </w:r>
    </w:p>
    <w:p>
      <w:r>
        <w:t>IT: TAF F-2758/2021 del 21 dicembre 2022</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139 II 534 E. 5.4.1; BVGE 2014/1 E. 2 m.H.).</w:t>
      </w:r>
    </w:p>
    <w:p>
      <w:r>
        <w:rPr>
          <w:b/>
        </w:rPr>
        <w:t>E. 3</w:t>
      </w:r>
    </w:p>
    <w:p>
      <w:r>
        <w:t>Die Beschwerdeführerin ist Niederländerin und damit Staatsangehörige einer Vertragspartei des Abkommens vom 21. Juni 1999 zwischen der Schweizerischen Eidgenossenschaft einerseits und der Europäischen Gemeinschaft und ihren Mitgliedstaaten andererseits über die Freizügigkeit (Freizügigkeitsabkommen, FZA, SR 0.142.112.681). Gemäss Art. 2 Abs. 2 AIG ist das ordentliche Ausländerrecht - bestehend aus dem AIG und seinen Ausführungsverordnungen - nur soweit anwendbar, als das FZA keine abweichenden Bestimmungen enthält oder die Bestimmungen des ordentlichen Ausländerrechts günstiger sind.</w:t>
      </w:r>
    </w:p>
    <w:p>
      <w:r>
        <w:rPr>
          <w:b/>
        </w:rPr>
        <w:t>E. 4.1</w:t>
      </w:r>
    </w:p>
    <w:p>
      <w:r>
        <w:t>Landesrechtliche Grundlage der angefochtenen Verfügung bildet Art. 67 AIG. Die massgeblichen Bestimmungen zum Einreiseverbot werden in der Folge in der hier anwendbaren, bis am 21. November 2022 gültig gewesenen Fassung vom 18. Juni 2010 [AS 2010 5925] zitiert. Nach der damaligen Fassung von Art. 67 Abs. 2 Bst. a AIG kann gegen Ausländerinnen und Ausländer, die gegen die öffentliche Sicherheit und Ordnung in der Schweiz oder im Ausland verstossen haben oder diese gefährden, ein Einreiseverbot verfügt werden. Das Einreiseverbot wird für eine Dauer von höchstens fünf Jahren verhängt. Es kann für eine längere Dauer verfügt werden, wenn die betroffene Person eine schwerwiegende Gefahr für die öffentliche Sicherheit und Ordnung darstellt (Art. 67 Abs. 3 Satz 2 AIG). Die verfügende Behörde kann ausnahmsweise aus humanitären oder anderen wichtigen Gründen von der Verhängung eines Einreiseverbots absehen oder ein Einreiseverbot vollständig oder vorübergehend aufheben (Art. 67 Abs. 5 AIG).</w:t>
      </w:r>
    </w:p>
    <w:p>
      <w:r>
        <w:rPr>
          <w:b/>
        </w:rPr>
        <w:t>E. 4.2</w:t>
      </w:r>
    </w:p>
    <w:p>
      <w:r>
        <w:t>Das Einreiseverbot ist keine Sanktion für vergangenes Fehlverhalten, sondern dient der Abwendung künftiger Störungen der öffentlichen Sicherheit und Ordnung (vgl. Botschaft zum Bundesgesetz über die Ausländerinnen und Ausländer vom 8. März 2002 [im Folgenden: Botschaft], BBl 2002 3813). Die öffentliche Sicherheit und Ordnung im Sinne von Art. 67 Abs. 2 Bst. a AIG bildet den Oberbegriff für die Gesamtheit der polizeilichen Schutzgüter. Sie umfasst u.a. die Unverletzlichkeit der objektiven Rechtsordnung und der Rechtsgüter Einzelner (vgl. Botschaft, a.a.O., S. 3809). In diesem Sinne liegt ein Verstoss gegen die öffentliche Sicherheit und Ordnung unter anderem vor, wenn gesetzliche Vorschriften oder behördliche Verfügungen missachtet werden (vgl. Art. 77a Abs. 1 Bst. a der Verordnung vom 24. Oktober 2007 über Zulassung, Aufenthalt und Erwerbstätigkeit [VZAE, SR 142.201]). Der Schluss auf eine Gefährdung der öffentlichen Sicherheit und Ordnung erfordert dagegen konkrete Anhaltspunkte dafür, dass der Aufenthalt der betroffenen Person in der Schweiz mit erheblicher Wahrscheinlichkeit zu einem solchen Verstoss führen wird (Art. 77a Abs. 2 VZAE).</w:t>
      </w:r>
    </w:p>
    <w:p>
      <w:r>
        <w:rPr>
          <w:b/>
        </w:rPr>
        <w:t>E. 4.3</w:t>
      </w:r>
    </w:p>
    <w:p>
      <w:r>
        <w:t>Soweit der Verstoss gegen die öffentliche Sicherheit und Ordnung zu einem Einreiseverbot gemäss Art. 67 Abs. 2 Bst. a AIG führt, wird unmittelbar an das vergangene Verhalten der Betroffenen angeknüpft. Dabei steht der Gedanke der Gefahrenabwehr durch Generalprävention im Vordergrund (vgl. etwa Urteil des BGer 2C_873/2012 vom 28. März 2013 E. 3.1 m.H.). Demgegenüber kommt der Gedanke der Spezialprävention zum Tragen, soweit Art. 67 Abs. 2 Bst. a AIG als alternativen Fernhaltegrund die Gefährdung der öffentlichen Ordnung und Sicherheit nennt. Ob eine solche (gegenwärtige oder künftige) Gefährdung vorliegt, ist gestützt auf die gesamten Umstände des Einzelfalls im Sinne einer Prognose zu beurteilen, die sich in erster Linie auf das vergangene Verhalten der betreffenden Person abstützen muss.</w:t>
      </w:r>
    </w:p>
    <w:p>
      <w:r>
        <w:rPr>
          <w:b/>
        </w:rPr>
        <w:t>E. 5.1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i.V.m. Art. 5 Abs. 2 Anhang I FZA) und die vor diesem Zeitpunkt bestehende, einschlägige Rechtsprechung des Gerichtshofs der Europäischen Gemeinschaft, EuGH (Art. 16 Abs. 2 FZA).</w:t>
      </w:r>
    </w:p>
    <w:p>
      <w:r>
        <w:rPr>
          <w:b/>
        </w:rPr>
        <w:t>E. 5.2</w:t>
      </w:r>
    </w:p>
    <w:p>
      <w:r>
        <w:t>Abweichungen vom Grundsatz des freien Personenverkehrs sind nach der Rechtsprechung eng auszulegen. Art 5 Abs. 1 Anhang I FZA setzt ausser der Störung der öffentlichen Sicherheit und Ordnung,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eine strafrechtliche Verurteilung für sich allein nicht genügt. Diese kann nur insoweit herangezogen werden, als die ihr zugrundeliegenden Umstände ein persönliches Verhalten erkennen lassen, das eine gegenwärtige Gefährdung der öffentlichen Ordnung und Sicherheit darstellt. Art. 5 Anhang I FZA erlaubt somit weder Massnahmen, die automatisch an vergangenes Fehlverhalten anknüpfen noch solche, die aus Gründen der Generalprävention angeordnet werden. Im Unterschied zum Landesrecht kommt es somit auf das Rückfallrisiko an, wobei die in Kauf zu nehmende Rückfallgefahr desto geringer ist, je schwerer die möglichen Rechtsgüterverletzungen wiegen (vgl. BGE 139 II 121 E. 5.3).</w:t>
      </w:r>
    </w:p>
    <w:p>
      <w:r>
        <w:rPr>
          <w:b/>
        </w:rPr>
        <w:t>E. 5.3</w:t>
      </w:r>
    </w:p>
    <w:p>
      <w:r>
        <w:t>Innerhalb der vom Gemeinschaftsrecht gezogenen Grenzen sind die Vertragsstaaten grundsätzlich frei festzulegen, welche Verhaltensweisen sie als Störung ihrer Grundinteressen betrachten. Eine solche gemeinschaftsrechtliche Schranke erblickt der Gerichtshof im primärrechtlichen Verbot der Diskriminierung aufgrund der Staatsangehörigkeit (heute: Art. 18 Vertrag über die Arbeitsweise der Europäischen Union; vgl. die analoge Bestimmung des Art. 2 FZA). Ein Mitgliedstaat kann daher das Verhalten des Staatsangehörigen eines anderen Mitgliedstaates nicht als hinreichend schwerwiegend betrachten, wenn er gegenüber dem gleichen Verhalten eigener Staatsangehöriger keine Zwangs- oder andere tatsächliche und effektive Massnahmen zur Bekämpfung dieses Verhaltens ergreift (Urteile des EuGH vom 18. Mai 1989, Kommission/Deutschland, 249/86, Slg. 1989 1263, EU:C:1989:204, Rn. 19, und vom 18. Mai 1982, Adoui und Cornuaille, 115/81 und 116/81, Slg. 1982 1665, EU:C:1982:183, Rn. 8). Ansonsten kann auch einfacher Konsum von Betäubungsmitteln eine Gefährdung darstellen, die besondere Massnahmen zum Schutz der öffentlichen Sicherheit und Ordnung gegen Angehörige anderer Mitgliedstaaten rechtfertigen kann (Urteil des EuGH vom 19. Januar 1999, Calfa, C-348/96, Slg. 1999 I-11, EU:C:1999:6, Rn. 22).</w:t>
      </w:r>
    </w:p>
    <w:p>
      <w:r>
        <w:rPr>
          <w:b/>
        </w:rPr>
        <w:t>E. 6.1</w:t>
      </w:r>
    </w:p>
    <w:p>
      <w:r>
        <w:t>Mit Strafbefehl der Staatsanwaltschaft Limmattal/Albis vom 19. März 2021 wurde die Beschwerdeführerin wegen Diebstahls, Sachbeschädigung und Hausfriedensbruchs zu einer unbedingt ausgesprochenen Freiheitsstrafe von 120 Tagen verurteilt. Aus den Akten geht diesbezüglich hervor, dass sie am 5. August 2014 in eine Liegenschaft im Kanton Zürich eingebrochen war, indem sie Fensterscheiben eingeschlagen, die Liegenschaft nach möglichst viel Bargeld und leicht verwertbarem Deliktsgut durchsucht und Deliktsgut im Gesamtwert von über Fr. 53'000.- entwendet hatte (vgl. Bst. A.e des Sachverhalts).</w:t>
      </w:r>
    </w:p>
    <w:p>
      <w:r>
        <w:rPr>
          <w:b/>
        </w:rPr>
        <w:t>E. 6.2</w:t>
      </w:r>
    </w:p>
    <w:p>
      <w:r>
        <w:t>Soweit die Beschwerdeführerin in diesem Zusammenhang vorbringt, sie habe diese Tat im Alter von 20 Jahren begangen und habe sich seither nichts mehr zuschulden kommen lassen, gilt es darauf hinzuweisen, dass sie sich während Jahren unter falschen Identitäten in der Schweiz aufgehalten hat, was die Strafuntersuchung gegen sie erschwert und stark verzögert hat. Diese musste denn auch wegen ihres unbekannten Aufenthaltes am 16. März 2015 durch die Staatsanwaltschaft Limmattal/Albis sistiert werden. Erst sechs Jahre später konnte die Beschwerdeführerin anlässlich einer weiteren Einreise in die Schweiz in Chiasso von der Tessiner Kantonspolizei festgenommen, der Strafbehörde zugeführt und zu einer viermonatigen Freiheitsstrafe verurteilt werden. Ebenfalls nichts zu ihren Gunsten abzuleiten vermag die Beschwerdeführerin aus dem Umstand, dass sie eigenen Angaben zufolge im Jahre 2019 sowie ab Oktober 2020 im Tessin eine Arbeitsstelle im Gastgewerbe antreten konnte, ist doch davon auszugehen, dass die Arbeitgeberin nichts von ihrer kriminellen Vergangenheit wusste.</w:t>
      </w:r>
    </w:p>
    <w:p>
      <w:r>
        <w:rPr>
          <w:b/>
        </w:rPr>
        <w:t>E. 6.3</w:t>
      </w:r>
    </w:p>
    <w:p>
      <w:r>
        <w:t>Dass die Beschwerdeführerin mit ihrem Verhalten den Fernhaltegrund der Verletzung der öffentlichen Sicherheit und Ordnung (Art. 67 Abs. 2 Bst. a AIG) gesetzt hat, ist nach dem Gesagten offensichtlich. Wie bereits dargelegt, genügt dies jedoch nicht, um die Massnahme vor dem Freizügigkeitsabkommen bestehen zu lassen; vielmehr muss dargetan werden, dass von der Beschwerdeführerin auch gegenwärtig noch eine Gefährdung ausgeht, die hinreichend schwer ist und ein Grundinteresse der Gesellschaft berührt.</w:t>
      </w:r>
    </w:p>
    <w:p>
      <w:r>
        <w:rPr>
          <w:b/>
        </w:rPr>
        <w:t>E. 6.4</w:t>
      </w:r>
    </w:p>
    <w:p>
      <w:r>
        <w:t>Vermögensdelikte können durchaus Anlass für freizügigkeitsbeschränkende Massnahmen bilden, wenn die Rückfallgefahr hinreichend gross ist (vgl. etwa Urteil des BGer 2C_108/2016 vom 7. September 2016 E. 3.1 letzter Satz; Urteil des BVGer C-4052/2015 vom 10. Februar 2016 E. 6.3, je m.w.H.). Voraussetzung für eine Berücksichtigung ist überdies, dass die Straftaten unbestritten sind oder aufgrund der Akten keine Zweifel bestehen, dass sie der betreffenden Person zur Last zu legen sind (vgl. Urteil des BGer 2C_367/2009 vom 16. Dezember 2009 E. 4.2.1). Laut Strafbefehl brach die Beschwerdeführerin 2014 mit brachialer Gewalt in eine Liegenschaft im Kanton Zürich ein, wobei bei einem Deliktsbetrag von mehr als Fr. 53'000.- wohl kaum von einem leichten Fall im Bagatellbereich gesprochen werden kann.</w:t>
      </w:r>
    </w:p>
    <w:p>
      <w:r>
        <w:rPr>
          <w:b/>
        </w:rPr>
        <w:t>E. 7.1</w:t>
      </w:r>
    </w:p>
    <w:p>
      <w:r>
        <w:t>Bei der Frage, ob die Beschwerdeführerin aktuell eine Gefährdung darstellt, kommt es wesentlich auf das Rückfallrisiko an.</w:t>
      </w:r>
    </w:p>
    <w:p>
      <w:r>
        <w:rPr>
          <w:b/>
        </w:rPr>
        <w:t>E. 7.2</w:t>
      </w:r>
    </w:p>
    <w:p>
      <w:r>
        <w:t>Ihr Einwand, sich seit 2014 stets korrekt verhalten zu haben, muss schon deshalb relativiert werden, weil die Beschwerdeführerin - wie erwähnt - jahrelang unter falscher Identität in der Schweiz aufgetreten ist und sich so lange Zeit ihrer strafrechtlichen Verantwortung entziehen konnte. Damit hat sie die Straf- wie auch die Ausländerbehörden in arglistiger Weise getäuscht. Kommt hinzu, dass die Beschwerdeführerin bereits zuvor wegen versuchten Diebstahls, Sachbeschädigung, Hausfriedensbruchs und illegaler Einreise zu einer 15-tägigen Freiheitsstrafe (vgl. Strafbefehl des "Magistrato dei minorenni" vom 10. September 2012) sowie mit Strafbefehl der Jugendanwaltschaft Limmattal/Albis vom 12. Dezember 2012 ebenfalls wegen versuchten Diebstahls und Widerhandlung gegen das Ausländergesetz mit einem Freiheitsentzug von 37 Tagen bestraft worden war (vgl. Bst. A.a des Sachverhalts). Sie hat sich somit in der Schweiz wiederholt strafbar gemacht, weshalb in casu von einer Rückfallgefahr auszugehen ist. Das Vorliegen einer aktuellen Gefährdung kann mit anderen Worten nicht ernsthaft in Abrede gestellt werden. Die Staatsanwaltschaft Limmattal/Albis hatte denn auch im erwähnten Strafbefehl vom 19. März 2021 festgehalten, aufgrund des Verschuldens der Beschwerdeführerin, ihres Vorlebens und ihrer persönlichen Verhältnisse (zwei teilweise einschlägige Vorstrafen) seien die Voraussetzungen für eine bedingte Strafe nicht gegeben, vielmehr davon auszugehen sei, besagte Person sei nicht bereit, sich rechtskonform zu verhalten. Zwar liegen die ihr zur Last gelegten Delikte schon Jahre zurück. Von vorrangiger Bedeutung ist insofern jedoch, wie lange sich eine straffällig gewordene Person nach ihrer Entlassung aus dem Strafvollzug in Freiheit bewährt hat (BVGE 2014/20 E. 5.4, sowie Urteil des BVGer F-925/2020 vom 30. August 2021 E. 6.4.4).</w:t>
      </w:r>
    </w:p>
    <w:p>
      <w:r>
        <w:rPr>
          <w:b/>
        </w:rPr>
        <w:t>E. 7.3</w:t>
      </w:r>
    </w:p>
    <w:p>
      <w:r>
        <w:t>In Würdigung der Umstände ist ohne Weiteres davon auszugehen, dass von der Beschwerdeführerin auch heute noch eine aktuelle, tatsächliche und hinreichend schwere Gefahr für die öffentliche Ordnung und Sicherheit im Sinne des Gemeinschaftsrechts in seiner Auslegung durch den EuGH ausgeht. Dass die Vorinstanz gegen sie ein Einreiseverbot verhängt hat, ist somit im Lichte von Art. 5 Anhang I FZA dem Grundsatze nach nicht zu beanstanden.</w:t>
      </w:r>
    </w:p>
    <w:p>
      <w:r>
        <w:rPr>
          <w:b/>
        </w:rPr>
        <w:t>E. 7.4</w:t>
      </w:r>
    </w:p>
    <w:p>
      <w:r>
        <w:t>Als Zwischenergebnis ist festzustellen, dass die Beschwerdeführerin den Fernhaltegrund einer Verletzung der öffentlichen Sicherheit und Ordnung im Sinne von Art. 67 Abs. 2 Bst. a erster Halbsatz AIG gesetzt hat. Vor diesem Hintergrund kann deshalb die Frage offen gelassen werden, ob sie allenfalls auch weitere Fernhaltegründe gesetzt hat, was die Vor-instanz in der angefochtenen Verfügung mit ihrem Hinweis auf Art. 67 Abs. 1 Bst. a sowie Art. 67 Abs. 2 Bst. c AIG angedeutet hat.</w:t>
      </w:r>
    </w:p>
    <w:p>
      <w:r>
        <w:rPr>
          <w:b/>
        </w:rPr>
        <w:t>E. 8.1</w:t>
      </w:r>
    </w:p>
    <w:p>
      <w:r>
        <w:t>Eine Fernhaltemassnahme muss dem Grundsatz nach sowie in Bezug auf ihre Dauer in pflichtgemässer Ausübung des Ermessens ergangen und angemessen sein. Unter dem Gesichtspunkt des Freizügigkeitsabkommens ist dabei insbesondere der Grundsatz der Verhältnismässigkeit zu beachten (BGE 131 II 352 E. 3.3; 130 II 493 E. 3.3; 130 II 176 E. 3.4.2, je m.w.H.).</w:t>
      </w:r>
    </w:p>
    <w:p>
      <w:r>
        <w:rPr>
          <w:b/>
        </w:rPr>
        <w:t>E. 8.2</w:t>
      </w:r>
    </w:p>
    <w:p>
      <w:r>
        <w:t>Von der Beschwerdeführerin geht wie dargetan (siehe E. 7) nach wie vor eine hinreichend schwere Gefahr für die öffentliche Sicherheit und Ordnung aus, weshalb ein erhebliches öffentliches Interesse an ihrer zeitweisen Fernhaltung besteht. Den öffentlichen Interessen sind die privaten Interessen der Betroffenen gegenüberzustellen. Sie macht diesbezüglich geltend, sie hätte ihren Lebensmittelpunkt in der Schweiz eingerichtet, lebe sie doch in einer festen Beziehung mit ihrem im Kanton Tessin wohnhaften Freund. Zudem verweist sie auf eine ihr in Aussicht gestellte Arbeitsstelle im Gastgewerbe, welche ihr nun durch die Fernhaltemassnahme verwehrt bleibe. In diesem Zusammenhang gilt es festzuhalten, dass das in Kraft stehende Einreiseverbot einer möglichen künftigen Bewilligungserteilung grundsätzlich nicht entgegensteht, muss doch die Erteilung eines Anwesenheitsrechts losgelöst vom Einreiseverbot geprüft werden (vgl. Urteil des BGer 2C_793/2008 vom 27. März 2008 E. 3.2 m.H.; Urteil des BVGer F-2683/2020 vom 5. Juli 2021 E. 8.3). 8.Eine wertende Gewichtung der gegenläufigen öffentlichen und privaten Interessen führt das Bundesverwaltungsgericht zum Ergebnis, dass das auf drei Jahre befristete Einreiseverbot nicht zu beanstanden ist. Die Massnahme erscheint unter Berücksichtigung aller relevanten Beurteilungselemente, insbesondere der wiederholten Straftaten, der falschen Identitäten und der Verhängung eines früheren Einreiseverbots, vielmehr als verhältnismässig und angemessen. Aus diesen Erwägungen folgt, dass die angefochtene Verfügung Bundesrecht und das Freizügigkeitsabkommen nicht verletzt (Art. 49 VwVG). Die Beschwerde ist deshalb abzuweisen. 9.Entsprechend dem Ausgang des Verfahrens wird die unterliegende Beschwerdeführerin kostenpflichtig (vgl. Art. 63 Abs. 1 VwVG). Die Verfahrenskosten sind auf Fr. 1'000.-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