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F-2756/2016 vom 31. August 2017</w:t>
      </w:r>
    </w:p>
    <w:p>
      <w:r>
        <w:t>Bundesverwaltungsgericht, 2017-08-31, DE</w:t>
      </w:r>
    </w:p>
    <w:p>
      <w:r>
        <w:rPr>
          <w:b/>
        </w:rPr>
        <w:t xml:space="preserve">Quelle: </w:t>
      </w:r>
      <w:r>
        <w:t>https://mcp.opencaselaw.ch/entscheid/bvger_F-2756_2016</w:t>
      </w:r>
    </w:p>
    <w:p>
      <w:r>
        <w:t>FR: TAF F-2756/2016 du 31 août 2017</w:t>
      </w:r>
    </w:p>
    <w:p>
      <w:r>
        <w:t>IT: TAF F-2756/2016 del 31 agosto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Syrien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erfüllen die Gesuchstellenden nicht die Voraussetzungen, um für den gesamten Schengen-Raum geltende Visa erhalten zu können. Beim Schweizerischen Generalkonsulat in Istanbul bzw. mit der Rechtsmitteleingabe wurden denn auch lediglich Visa aus humanitären Gründen beantragt.</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In einem Urteil vom 7. März 2017 (vgl. Urteil des Europäischen Gerichtshofs [EuGH] vom 07.03.2017, X und X gegen Belgien, C-638/16 PPU, EU:C:2017:173) erklärte der EuGH, "dass für einen Antrag auf ein Visum mit räumlich beschränkter Gültigkeit, der von einem Drittstaatsangehörigen aus humanitären Gründen auf der Grundlage von Art. 25 [Visakodex] bei der Vertretung des Zielmitgliedstaates im Hoheitsgebiet eines Drittstaats in der Absicht gestellt wird, sogleich nach seiner Ankunft im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welche der Rechtsprechung der Europäischen Union grundsätzlich Rechnung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in einem neusten Grundsatzurteil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E. 4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Nr. 322.126 des SEM vom 25. Februar 2014 [Stand: 30. August 2016], nachfolgend: Weisungen humanitäres Visum). Die Einreisevoraussetzungen sind somit beim Visumsverfahren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Das Bundesverwaltungsgericht geht in seiner bisherigen Rechtsprechung davon aus, dass syrischen Flüchtlingen in der Türkei genügend Aufnahmestrukturen zur Verfügung stehen und dass diese sich deshalb nicht auf eine konkrete, unmittelbare und ernsthafte Gefährdungslage berufen können. Die Grundversorgung und der Zugang zu medizinischen Basisleistungen gelten in der Regel als gewährleistet, auf jeden Fall in Grossstädten wie Istanbul und Ankara, welche über ein gut funktionierendes und zugängliches Gesundheitssystem verfügen (vgl. Urteil F-6864/2016 vom 31. Juli 2017 E. 6.1 m.H.).</w:t>
      </w:r>
    </w:p>
    <w:p>
      <w:r>
        <w:rPr>
          <w:b/>
        </w:rPr>
        <w:t>E. 6.2</w:t>
      </w:r>
    </w:p>
    <w:p>
      <w:r>
        <w:t>Die Beschwerdeführerin verweist in allgemeiner Weise auf die schwierige Lage syrischer Flüchtlinge in der Türkei. Die medizinische Versorgung in diesem Land sei sehr schwierig, da die meisten öffentlichen und privaten Spitäler keine syrischen Patienten aufnehmen würden, wenn diese nicht über die nötigen Mittel und Ressourcen verfügten. Ein langfristiger Verbleib der Gesuchsteller in der Türkei werde daher kaum möglich sein.</w:t>
      </w:r>
    </w:p>
    <w:p>
      <w:r>
        <w:rPr>
          <w:b/>
        </w:rPr>
        <w:t>E. 6.3</w:t>
      </w:r>
    </w:p>
    <w:p>
      <w:r>
        <w:t>Als massgeblich erweist sich, dass in der vorliegenden Sache keine substantiierten und stichhaltigen Gründe ersichtlich sind, welche auf eine unmittelbare, ernsthafte und konkrete Gefährdung an Leib und Leben hinweisen. Die Betroffenen befinden sich daher nicht in einer besonderen Notsituation, welche ein behördliches Eingreifen zwingend erforderlich erscheinen liesse. In diesem Zusammenhang soll auch nicht in Abrede gestellt werden, dass der Gesuchsteller, bei dem gemäss syrischem Arztzeugnis vom 17. Oktober 2015 offenbar "Multiple Sklerose" diagnostiziert worden ist, welche mit Physiotherapie und Medikamenten behandelt werden sollte, gesundheitlich angeschlagen ist. Aus diesem Dokument können jedoch keine substantiierten Anhaltspunkte abgeleitet werden, welche das Vorliegen einer medizinischen Notlage zu begründen vermöchten.</w:t>
      </w:r>
    </w:p>
    <w:p>
      <w:r>
        <w:rPr>
          <w:b/>
        </w:rPr>
        <w:t>E. 6.4</w:t>
      </w:r>
    </w:p>
    <w:p>
      <w:r>
        <w:t>Das Bundesverwaltungsgericht gelangt nach Prüfung der Akten zum Schluss, dass vorliegend die Voraussetzungen für die Erteilung humanitärer Visa nicht erfüllt sind. Die entsprechenden Erwägungen in der angefochtenen Verfügung erweisen sich als zutreffend und es kann zur Vermeidung von Wiederholungen auf die bereits gemachten Ausführungen (vgl. Bst. F des Sachverhalts) verwiesen werden. Die Beschwerdevorbringen sind nicht geeignet, eine Änderung der vorinstanzlichen Einschätzung zu bewirken. Eine unmittelbare, ernsthafte und konkrete Gefährdung für Leib und Leben der Gesuchsteller ist vorliegend nicht ersichtlich, auch wenn das Gericht nicht verkennt, dass die Situation für die Familie mit vier minderjährigen Kindern schwierig ist. Den Gesuchstellern war es trotz dieser Umstände möglich, ihr Heimatland zu verlassen, um in der Türkei die Visagesuche einzureichen. Aus den eingereichten Dokumenten kann demnach nichts zu ihren Gunsten abgeleitet werden und die Verweigerung der Ausstellung der Visa durch das Generalkonsulat und die Vorinstanz erweist sich daher als rechtmässig. Bezüglich der geltend gemachten fehlenden finanziellen Ressourcen für die Behandlung der gesundheitlichen Probleme steht es den Gesuchstellern - wie die Vorinstanz zu Recht festgehalten hat - offen, sich an die lokalen Behörden oder an das UNO Hochkommissariat für Flüchtlinge (UNHCR), den türkischen Roten Halbmond oder andere vor Ort tätige Hilfsorganisationen zu wenden. Insbesondere wäre ihnen nach Ansicht des SEM eine Registrierung beim UNHCR zuzumuten, um die gegebenenfalls notwendige Versorgung zu erhalten oder sich für die beschlossenen Resettlementprogramme anzumelden. Schliesslich darf davon ausgegangen werden, dass die Gesuchsteller bei Bedarf von ihren im Ausland lebenden Verwandten finanziell unterstützt würden.</w:t>
      </w:r>
    </w:p>
    <w:p>
      <w:r>
        <w:rPr>
          <w:b/>
        </w:rPr>
        <w:t>E. 6.5</w:t>
      </w:r>
    </w:p>
    <w:p>
      <w:r>
        <w:t>Nach dem Gesagten hat das SEM zu Recht die beantragte Visaerteilung aus humanitären Gründen verweigert.</w:t>
      </w:r>
    </w:p>
    <w:p>
      <w:r>
        <w:rPr>
          <w:b/>
        </w:rPr>
        <w:t>E. 7</w:t>
      </w:r>
    </w:p>
    <w:p>
      <w:r>
        <w:t>Aus den vorstehenden Erwägungen ergibt sich,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wären der Beschwerdeführerin die Verfahrenskosten aufzuerlegen (vgl. Art. 63 Abs. 1 VwVG und Art. 1-3 des Reglements vom 22. Februar 2008 über die Kosten und Entschädigungen vor dem Bundesverwaltungsgericht [VGKE, SR 173.320.2]). Von einer Kostenauferlegung ist indes abzusehen, da das Gesuch der Beschwerdeführerin um Gewährung der unentgeltlichen Prozessführung (Art. 65 Abs. 1 VwVG) vom Bundesverwaltungsgericht bereits mit Zwischenverfügung vom 6. Juni 2016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