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F-2748/2015 vom 20. Juli 2016</w:t>
      </w:r>
    </w:p>
    <w:p>
      <w:r>
        <w:t>Bundesverwaltungsgericht, 2016-07-20, DE</w:t>
      </w:r>
    </w:p>
    <w:p>
      <w:r>
        <w:rPr>
          <w:b/>
        </w:rPr>
        <w:t xml:space="preserve">Quelle: </w:t>
      </w:r>
      <w:r>
        <w:t>https://mcp.opencaselaw.ch/entscheid/bvger_F-2748_2015</w:t>
      </w:r>
    </w:p>
    <w:p>
      <w:r>
        <w:t>FR: TAF F-2748/2015 du 20 juillet 2016</w:t>
      </w:r>
    </w:p>
    <w:p>
      <w:r>
        <w:t>IT: TAF F-2748/2015 del 20 luglio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Überschreitungen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Das Einreiseverbot, welches die Einreise oder die Rückkehr einer unerwünschten Ausländerin oder eines unerwünschten Ausländers verhindern soll, wird in Art. 67 AuG geregelt. Es stellt keine Sanktion für vergangenes Fehlverhalten dar, sondern ist eine Massnahme zur Abwendung einer künftigen Störung der öffentlichen Sicherheit und Ordnung (siehe Botschaft zum Bundesgesetz über die Ausländerinnen und Ausländer vom 8. März 2002, BBl 2002 3709, S. 3813; vgl. dazu auch BVGE 2008/24 E. 4.2).</w:t>
      </w:r>
    </w:p>
    <w:p>
      <w:r>
        <w:rPr>
          <w:b/>
        </w:rPr>
        <w:t>E. 4.1</w:t>
      </w:r>
    </w:p>
    <w:p>
      <w:r>
        <w:t>Gemäss Art. 67 Abs. 1 AuG verfügt das SEM - unter Vorbehalt von Abs. 5 - ein Einreiseverbot gegenüber weggewiesenen Ausländerinnen und Ausländern, wenn die Wegweisung nach Art. 64d Abs. 2 Bst. a-c AuG sofort vollstreckt wird (Bst. a) oder diese nicht innerhalb der angesetzten Frist ausgereist sind (Bst. b). Es kann sodann nach Art. 67 Abs. 2 AuG ein Einreiseverbot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5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Wird gegen eine Person, die nicht das Bürgerrecht eines Schengen-Staates besitzt ein Einreiseverbot verhängt, so wird sie nach Massgabe und Bedeutung des Falles im Schengener Informationssystem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S. 4-23]). Damit wird dem Betroffenen grundsätzlich die Einreise in das Hoheitsgebiet aller Schengen-Mitgliedstaaten verboten (vgl. Art. 6 Abs. 1 sowie Art. 14 Abs. 1 der Verordnung [EU] Nr. 2016/399 des Europäischen Parlaments und des Rates vom 9. März 2016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Ziff. [ii] der Verordnung [EG] Nr. 810/2009 des Europäischen Parlaments und des Rates vom 13. Juli 2009 über einen Visakodex der Gemeinschaft [Visakodex, Abl. L 243/1 vom 15. September 2009]).</w:t>
      </w:r>
    </w:p>
    <w:p>
      <w:r>
        <w:rPr>
          <w:b/>
        </w:rPr>
        <w:t>E. 5.1</w:t>
      </w:r>
    </w:p>
    <w:p>
      <w:r>
        <w:t>Die Vorinstanz stützt das auf drei Jahre befristete Einreiseverbot allgemein auf Art. 67 AuG und begründet es damit, dass der Beschwerdeführer zwar legal in die Schweiz eingereist sei, aufgrund der Zuständigkeit Frankreichs in Bezug auf die Beurteilung des Asylgesuchs jedoch nicht auf dieses eingetreten worden sei. Die Person sei daher durch die zuständige Behörde aus der Schweiz weggewiesen und die Wegweisung als sofort vollstreckbar erklärt worden. Die Anordnung einer Fernhaltemassnahme gestützt auf Art. 67 AuG sei daher angezeigt.</w:t>
      </w:r>
    </w:p>
    <w:p>
      <w:r>
        <w:rPr>
          <w:b/>
        </w:rPr>
        <w:t>E. 5.2</w:t>
      </w:r>
    </w:p>
    <w:p>
      <w:r>
        <w:t>Im vorliegenden Fall ist unbestritten, dass der Beschwerdeführer rechtskräftig aus der Schweiz weggewiesen und die Wegweisung als sofort vollstreckbar erklärt worden ist. Es bleibt hingegen zu prüfen, ob die Fernhaltemassnahme nach Art. 67 Abs. 1 bzw. Abs. 2 AuG zu Recht verhängt worden ist.</w:t>
      </w:r>
    </w:p>
    <w:p>
      <w:r>
        <w:rPr>
          <w:b/>
        </w:rPr>
        <w:t>E. 5.2.1</w:t>
      </w:r>
    </w:p>
    <w:p>
      <w:r>
        <w:t>Beim sofortigen Vollzug einer Wegweisungsverfügung ist gemäss Art. 67 Abs. 1 Bst. a AuG grundsätzlich ein Einreiseverbot zu erlassen, wenn eine der nachfolgenden Voraussetzungen erfüllt ist. Nach dieser Bestimmung wird ein Einreiseverbot verhängt, wenn die Wegweisung nach Art. 64d Abs. 2 Bst. a-c AuG sofort vollstreckbar ist. Konkret bedeutet dies, dass die betroffene Person eine Gefahr für die öffentliche Sicherheit und Ordnung oder die innere oder äussere Sicherheit darstellt (Bst. a), konkrete Anzeichen befürchten lassen, dass sich die betroffene Person der Ausschaffung entziehen will (Bst. b) oder ein Gesuch um Erteilung einer Bewilligung als offensichtlich unbegründet oder missbräuchlich abgelehnt worden ist (Bst. c). Der Beschwerdeführer ist weder eine Gefahr für die öffentliche Sicherheit und Ordnung, ist er doch legal in die Schweiz eingereist und hat am Flughafen Zürich ein Asylgesuch gestellt, noch hat er nach Art. 64d Abs. 2 Bst. b AuG konkrete Anzeichen befürchten lassen, dass er sich der Ausschaffung entziehen wolle, ist er doch rechtzeitig ausgereist (vgl. Sachverhalt Bst. H). Auch Bst. c ist nicht erfüllt, da der Beschwerdeführer im Besitz eines Schengen-Visums war und einen ordentlichen Asylantrag gestellt hat. Der Beschwerdeführer wurde gestützt auf das Dublin-Assoziierungsabkommen weggewiesen und die sofortige Vollstreckbarkeit ergab sich einzig daraus, dass ein anderes Land für das Durchlaufen des Asylverfahrens zuständig war (vgl. Art. 64d Abs. 2 Bst. f AuG).</w:t>
      </w:r>
    </w:p>
    <w:p>
      <w:r>
        <w:rPr>
          <w:b/>
        </w:rPr>
        <w:t>E. 5.2.2</w:t>
      </w:r>
    </w:p>
    <w:p>
      <w:r>
        <w:t>Art. 67 Abs. 1 Bst. b AuG rechtfertigt ein Einreiseverbot, wenn diese [die weggewiesene Ausländerin oder der weggewiesene Ausländer] nicht innerhalb der angesetzten Frist ausgereist sind. Wie soeben ausgeführt, hat der Beschwerdeführer die Schweiz fristgerecht am 16. April 2015 verlassen (vgl. E. 5.2.1), weshalb auch die Erfüllung dieses Tatbestands zu verneinen ist.</w:t>
      </w:r>
    </w:p>
    <w:p>
      <w:r>
        <w:rPr>
          <w:b/>
        </w:rPr>
        <w:t>E. 5.2.3</w:t>
      </w:r>
    </w:p>
    <w:p>
      <w:r>
        <w:t>Somit bleibt zu prüfen, ob Art. 67 Abs. 2 AuG zur Anwendung kommt. Hier wird vorausgesetzt, dass die Vorinstanz ein Einreiseverbot gegenüber Ausländerinnen oder Ausländern erlassen kann, wenn sie gegen die öffentliche Sicherheit und Ordnung in der Schweiz oder im Ausland verstossen haben oder diese gefährden (Bst. a), Sozialhilfekosten verursacht haben (Bst. b) oder in Vorbereitungs-, Ausschaffungs- oder Durchsetzungshaft genommen worden sind (Bst. c). Auch diese Voraussetzungen sind allesamt nicht erfüllt. Der Beschwerdeführer stellt - wie in E. 5.2.1 ausgeführt - keine Gefahr für die öffentliche Sicherheit und Ordnung dar, hat keine Sozialhilfekosten verursacht (die Beschwerdeführenden wurden während ihres Aufenthaltes in der Schweiz von der Caritas unterstützt und Gegenteiliges ergibt sich aus den Akten nicht) und er wurde auch nicht in Vorbereitungs-, Ausschaffungs- oder Durchsetzungshaft genommen.</w:t>
      </w:r>
    </w:p>
    <w:p>
      <w:r>
        <w:rPr>
          <w:b/>
        </w:rPr>
        <w:t>E. 5.3</w:t>
      </w:r>
    </w:p>
    <w:p>
      <w:r>
        <w:t>Zusammenfassend kann festgehalten werden, dass keine der in Art. 67 Abs. 1 und 2 AuG festgelegten Voraussetzungen für die Verhängung einer Fernhaltemassnahme erfüllt ist und die Rüge der Rechtsvertreterin, es bestünde keine rechtliche Grundlage für ein Einreiseverbot, sich als zutreffend erweist.</w:t>
      </w:r>
    </w:p>
    <w:p>
      <w:r>
        <w:rPr>
          <w:b/>
        </w:rPr>
        <w:t>E. 6</w:t>
      </w:r>
    </w:p>
    <w:p>
      <w:r>
        <w:t>Aus diesen Erwägungen ergibt sich, dass die angefochtene Verfügung Bundesrecht verletzt (Art. 49 Bst. a VwVG). Die Beschwerde ist daher gutzuheissen und die angefochtene Verfügung vom 27. März 2015 aufzuheben. Demzufolge ist auch die Ausschreibung im SIS zu löschen.</w:t>
      </w:r>
    </w:p>
    <w:p>
      <w:r>
        <w:rPr>
          <w:b/>
        </w:rPr>
        <w:t>E. 7</w:t>
      </w:r>
    </w:p>
    <w:p>
      <w:r>
        <w:t>Bei diesem Verfahrensausgang sind dem Beschwerdeführer keine Kosten aufzuerlegen (Art. 63 Abs.1 VwVG), womit auch das Gesuch um unentgeltliche Rechtspflege gegenstandslos geworden ist. Dem Beschwerdeführer ist für die ihm im Verfahren vor dem Bundesverwaltungsgericht erwachsenen notwendigen Kosten eine Parteientschädigung zu Lasten der Vor-instanz in gerichtlich festzusetzender Höhe zuzusprechen (vgl. Art. 64 Abs. 1 VwVG, Art. 7 ff. des Reglements vom 21. Februar 2008 über die Kosten und Entschädigungen vor dem Bundesverwaltungsgericht [VGKE, SR 173.320.2]). Das Bundesverwaltungsgericht erachtet es in Anwendung von Art. 8 ff. VGKE als angemessen, die Höhe der Parteientschädigung (in Beachtung der Konnexität mit dem Verfahren F-2752/2015) auf pauschal Fr. 800.- (inkl. Zuschlag für die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