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F-2747/2024 vom 19. Februar 2025</w:t>
      </w:r>
    </w:p>
    <w:p>
      <w:r>
        <w:t>Bundesverwaltungsgericht, 2025-02-19, FR</w:t>
      </w:r>
    </w:p>
    <w:p>
      <w:r>
        <w:rPr>
          <w:b/>
        </w:rPr>
        <w:t xml:space="preserve">Quelle: </w:t>
      </w:r>
      <w:r>
        <w:t>https://mcp.opencaselaw.ch/entscheid/bvger_F-2747_2024</w:t>
      </w:r>
    </w:p>
    <w:p>
      <w:r>
        <w:t>FR: TAF F-2747/2024 du 19 février 2025</w:t>
      </w:r>
    </w:p>
    <w:p>
      <w:r>
        <w:t>IT: TAF F-2747/2024 del 19 febbraio 2025</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et art. 47 al. 1 de la loi du 20 juin 2014 sur la nationalité suisse [LN, RS 141.0]).</w:t>
      </w:r>
    </w:p>
    <w:p>
      <w:r>
        <w:rPr>
          <w:b/>
        </w:rPr>
        <w:t>E. 1.3</w:t>
      </w:r>
    </w:p>
    <w:p>
      <w:r>
        <w:t>L'intéressé a qualité pour recourir (art. 48 PA). Le recours, présenté dans la forme et les délais prescrits, est recevable (art. 50 al. 1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w:t>
      </w:r>
    </w:p>
    <w:p>
      <w:r>
        <w:t>L'art. 21 al. 1 LN dispose que quiconque possède une nationalité étrangère peut, ensuite de son mariage avec un citoyen suisse, former une demande de naturalisation facilitée s'il vit depuis trois ans en union conjugale avec son conjoint (let. a) et a séjourné en Suisse pendant cinq ans en tout, dont l'année ayant précédé le dépôt de la demande (let. b). Au sens de l'art. 10 de l'ordonnance du 17 juin 20214 sur la nationalité (OLN ; RS 141.01), l'union conjugale présuppose l'existence formelle d'un mariage et une communauté de fait entre les époux dans laquelle la volonté commune de maintenir une union conjugale stable est intacte (al. 1). L'exigence du ménage commun n'est pas applicable lorsque l'union conjugale est maintenue et que des raisons majeures justifiant l'existence de domiciles séparés peuvent être invoquées (al. 2). L'union conjugale doit exister au moment du dépôt de la demande et lors de la naturalisation (al. 3).</w:t>
      </w:r>
    </w:p>
    <w:p>
      <w:r>
        <w:rPr>
          <w:b/>
        </w:rPr>
        <w:t>E. 4</w:t>
      </w:r>
    </w:p>
    <w:p>
      <w:r>
        <w:t>En l'espèce, le recourant ne conteste pas s'être séparé de son épouse depuis le 1er octobre 2022. Il a toutefois rappelé qu'au moment du dépôt de sa demande, il vivait en communauté conjugale stable et effective avec son épouse et a soutenu que le moment déterminant pour déterminer si les conditions de l'art. 21 al. 1 LN étaient remplies serait uniquement celui du dépôt de la demande. Il ne saurait toutefois être suivi dans son raisonnement. En effet, il ressort tant de l'art. 10 al. 3 OLN que de la jurisprudence constante du Tribunal fédéral que les conditions posées par la loi doivent être remplies tant au moment du dépôt de la demande qu'au moment de l'octroi de la naturalisation (cf. ATF 140 II 65 consid. 2.1 ; 135 II 161 consid. 3). En effet,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 arrêt du TF 1C_311/2024 du 29 juillet 2024 et les réf. citées). C'est, en outre, à tort que le recourant se prévaut d'une inégalité de traitement (art. 8 al. 1 Cst. ; ATF 146 II 56 consid. 9.1) entre un « demandeur séparé quelques temps avant l'octroi de la naturalisation et celui qui s'est séparé quelques temps plus tard » (recours, p. 9). Ces deux situations sont dissemblables, d'autant que, dans la première hypothèse, le demandeur n'a pas encore obtenu la naturalisation et se la voit refuser faute d'en remplir les exigences légales au moment déterminant (cf. supra), tandis que, dans la seconde hypothèse, il s'expose - après avoir déjà obtenu la naturalisation facilitée - à ce que celle-ci soit annulée aux conditions légales particulières de l'art. 36 LN. Dès lors, dans la mesure où le recourant s'est séparé de son épouse durant la procédure de naturalisation, il ne saurait prétendre à une naturalisation facilitée, indépendamment de sa bonne foi alléguée lors du dépôt de la demande (art. 9 Cst., recours, p. 9), des raisons de la séparation ou des efforts consentis pour tenter de maintenir son couple.</w:t>
      </w:r>
    </w:p>
    <w:p>
      <w:r>
        <w:rPr>
          <w:b/>
        </w:rPr>
        <w:t>E. 5</w:t>
      </w:r>
    </w:p>
    <w:p>
      <w:r>
        <w:t>Sur le vu de ce qui précède, par sa décision du 22 mars 2024, l'autorité inférieure n'a ni violé le droit fédéral ni constaté des faits pertinents de manière inexacte ou incomplète. En outre, cette décision n'est pas inopportune (art. 49 PA). En conséquence, le recours est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