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F-2729/2020 vom 3. Juni 2020</w:t>
      </w:r>
    </w:p>
    <w:p>
      <w:r>
        <w:t>Bundesverwaltungsgericht, 2020-06-03, DE</w:t>
      </w:r>
    </w:p>
    <w:p>
      <w:r>
        <w:rPr>
          <w:b/>
        </w:rPr>
        <w:t xml:space="preserve">Quelle: </w:t>
      </w:r>
      <w:r>
        <w:t>https://mcp.opencaselaw.ch/entscheid/bvger_F-2729_2020</w:t>
      </w:r>
    </w:p>
    <w:p>
      <w:r>
        <w:t>FR: TAF F-2729/2020 du 3 juin 2020</w:t>
      </w:r>
    </w:p>
    <w:p>
      <w:r>
        <w:t>IT: TAF F-2729/2020 del 3 giugno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w:t>
      </w:r>
    </w:p>
    <w:p>
      <w:r>
        <w:t>In formeller Hinsicht rügt die Rechtsvertreterin, dass ihr die Mitteilungen der Pflege und das Übernahmeersuchen der Schweizer Behörden vorenthalten worden seien. Die angefochtene Verfügung sei deshalb bereits wegen Verletzung des rechtlichen Gehörs aufzuheben. Das Akteneinsichtsrecht bildet einen Teilgehalt des verfassungsmässigen Anspruchs auf rechtliches Gehör (vgl. Art. 29 Abs. 2 BV) und umfasst diejenigen Akten, welche geeignet sind, der entscheidenden Instanz als Grundlage für ihren Entscheid zu dienen (vgl. Kölz/Häner/Bertschi, Verwaltungsverfahren und Verwaltungsrechtspflege des Bundes, 3. Aufl. 2013, N. 494 m.H. oder Waldmann/Oeschler, Praxiskommentar VwVG, 2. Aufl. 2016, N 60 ff. zu Art. 26 VwVG). Zu den Auskünften bei der Pflege des Bundesasylzentrums existieren drei Aktenstücke. Bei act. 27 handelt es sich um die vom 13. Mai 2020 datierende Anfrage des SEM und bei act. 28 um die Antwort dazu. Zwar erhielt der Beschwerdeführer nur Einsicht in act. 29; dieses Aktenstück ist indes die anonymisierte Fassung von act. 28, weshalb es ihm auch so ohne weiteres möglich war, seine Rechte wirksam wahrzunehmen. Ebenfalls keine Akteneinsicht erhielt die zugewiesene Rechtsvertretung in das Übernahmeersuchen (act. 19). Soweit sie in diesem Zusammenhang bemängelt, nicht überprüfen zu können, ob besagte Anfrage Hinweise auf etwaige gesundheitliche Beeinträchtigungen des Beschwerdeführers enthalte, gilt es anzumerken, dass diesbezügliche Informationen nicht zum notwendigen Inhalt des standardisierten Formulars gehören, welches dem ersuchten Staat bei dieser Gelegenheit übermittelt wird. Allfälligen medizinischen Umständen wird praxisgemäss erst bei der Bestimmung der konkreten Modalitäten der Überstellung Rechnung getragen und der Partnerstaat gegebenenfalls vorgängig darüber orientiert (vgl. Urteil des BVGer F-3046/2019 vom 26. September 2019 E. 3.4 und 3.5). Einsicht erhielt die Rechtsvertretung hingegen in den Auszug der «Eurodac»-Datenbank (act. 8), woraus hervorgeht, in welchen Ländern der Beschwerdeführer Asylgesuche gestellt hat. Damit musste für sie klar sein, auf welcher Grundlage das SEM die deutschen Behörden um Übernahme der betreffenden Person ersuchte. Eine Verletzung des Rechts auf Akteneinsicht liegt mithin nicht vor.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w:t>
      </w:r>
    </w:p>
    <w:p>
      <w:r>
        <w:rPr>
          <w:b/>
        </w:rPr>
        <w:t>E. 6.1</w:t>
      </w:r>
    </w:p>
    <w:p>
      <w:r>
        <w:t>Ein Abgleich der Fingerabdrücke des Beschwerdeführers mit der «Eurodac»-Datenbank ergab, dass er am 17. März 2014 und 6. Dezember 2018 (daktyloskopisch erfasst am 2. Januar 2019) in Deutschland sowie am 2. August 2016, 15. Januar 2018 und 6. Juli 2018 in Österreich Asylgesuche gestellt hatte. Am 29. April 2020 ersuchte die Vorinstanz die deutschen Behörden deshalb um Übernahme des Beschwerdeführers gestützt auf Art. 18 Abs. 1 Bst. b Dublin-III-VO (SEM act. 19). Diese stimmten dem Übernahmeersuchen am 5. Mai 2020 zu (SEM act. 21). Die Zustimmung stützte sich auf Art. 18 Abs. 1 Bst. d Dublin-III-VO. Die grundsätzliche Zuständigkeit Deutschland ist somit gegeben. Dies wird auf Beschwerdeebene auch nicht bestritten.</w:t>
      </w:r>
    </w:p>
    <w:p>
      <w:r>
        <w:rPr>
          <w:b/>
        </w:rPr>
        <w:t>E. 6.2</w:t>
      </w:r>
    </w:p>
    <w:p>
      <w:r>
        <w:t>Nachfolgend ist demnach im Licht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Unter diesen Umständen ist die Anwendung von Art. 3 Abs. 2 Dublin-III-VO nicht gerechtfertigt.</w:t>
      </w:r>
    </w:p>
    <w:p>
      <w:r>
        <w:rPr>
          <w:b/>
        </w:rPr>
        <w:t>E. 8.1</w:t>
      </w:r>
    </w:p>
    <w:p>
      <w:r>
        <w:t>In der Rechtsmitteleingabe vom 26. Mai 2020 legte die Rechtsvertreterin den Fokus auf die Verständigungsschwierigkeiten während des Dublin-Gesprächs. In diesem Zusammenhang beantragte sie eine Abklärung der Sprachkenntnisse sowie medizinische Untersuchungen zum psychischen Zustand des Beschwerdeführers. Inhaltlich äusserte sie sich lediglich dahingehend, die Antworten ihres Mandanten bezüglich einer allfälligen Wegweisung nach Deutschland seien konfus und unklar geblieben, weshalb nicht darauf geschlossen werden dürfe, dass er damit einverstanden sei.</w:t>
      </w:r>
    </w:p>
    <w:p>
      <w:r>
        <w:rPr>
          <w:b/>
        </w:rPr>
        <w:t>E. 8.2</w:t>
      </w:r>
    </w:p>
    <w:p>
      <w:r>
        <w:t>Dem Beschwerdeführer obliegt im Rahmen des Asylverfahrens eine Mitwirkungspflicht. Dazu zählt u.a., dass er seine Identität offenlegt (Art. 8 Abs. 1 Bst. a AsylG) und über seine Sprachkenntnisse wahrheitsgemäss Auskunft gibt. Der Betroffene bezeichnete sowohl auf dem Personalienblatt für Asylsuchende (SEM act. 1) als auch anlässlich der Personalienaufnahme (SEM act. 9) Spanisch als seine Muttersprache. Zu Beginn des Dublin-Gesprächs bekräftigte er, einen Dolmetscher dieser Sprache zu bevorzugen. Wie der Aufzeichnung dieses Gesprächs entnommen werden kann, vermochte er der Befragung zu folgen (SEM act. 23). Dass er unvollständig antwortete, dazwischen immer wieder schwieg und in der Wahrnehmung der damaligen Rechtsvertretung nicht bei der Sache war, hat er selbst zu verantworten. Zwar fielen die Antworten als solche mitunter widersprüchlich und beliebig aus (er möchte lieber nach Palma de Mallorca gehen; er denke an seine Freundinnen und überlege sich, wie er nach Spanien gelangen könne; in Deutschland sei es gut und in Europa sei es überall gut) bzw. wird in einer Aussage (in Bezug auf Deutschland erklärte er, nicht «zurück in den Raum» zu können) nicht klar, was er damit zum Ausdruck bringen will. Im dargelegten Kontext durfte das SEM indes auf die entsprechenden Äusserungen abstellen. Ebenso wenig bestand Anlass, die Sprachkenntnisse des Beschwerdeführers von Amtes wegen abzuklären. Anzumerken ist, dass er in anderem Zusammenhang sehr wohl in der Lage gewesen war, sich adäquat auszudrücken. Es genügt an dieser Stelle der Verweis auf den der Rechtsvertretung bekannten Rapport der Kantonspolizei St. Gallen vom 24. April 2020 betreffend Widerhandlung gegen das AIG und das dazugehörige Einvernahmeprotokoll vom 10. März 2020. Daraus geht hervor, dass er sich zu den damals erhobenen Vorwürfen - auf Deutsch - ausführlich und präzise zu äussern vermochte (SEM act. 25). Bei dieser Sachlage erübrigte es sich, dem Beschwerdeführer auf schriftlichem Weg nochmals das rechtliche Gehör zu gewähren.</w:t>
      </w:r>
    </w:p>
    <w:p>
      <w:r>
        <w:rPr>
          <w:b/>
        </w:rPr>
        <w:t>E. 8.3</w:t>
      </w:r>
    </w:p>
    <w:p>
      <w:r>
        <w:t>Ansonsten gilt festzuhalten, dass der Beschwerdeführer kein konkretes Risiko dargetan hat, die deutschen Behörden würden sich weigern, ihn wiederaufzunehmen und seinen Antrag auf internationalen Schutz unter Einhaltung der Regeln der Verfahrensrichtlinie zu prüfen. Den Akten sind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Aufgrund der Akten geht es dem Beschwerdeführer offenbar nicht um die Anrufung der Schweiz um Schutz, sondern um eine Verbesserung seiner Lebensumstände. Die Dublin-III-VO räumt Asylsuchenden jedoch kein Recht ein, den ihren Antrag prüfenden Staat selber auszuwählen (BVGE 2010/45 E. 8.3).</w:t>
      </w:r>
    </w:p>
    <w:p>
      <w:r>
        <w:rPr>
          <w:b/>
        </w:rPr>
        <w:t>E. 8.4</w:t>
      </w:r>
    </w:p>
    <w:p>
      <w:r>
        <w:t>Des Weiteren gibt es auch keine Hinweise für die Annahme, Deutschland würde dem Beschwerdeführer dauerhaft die ihm gemäss Aufnahmerichtlinie zustehenden minimalen Lebensbedingungen vorenthalten. Bei einer allfälligen vorübergehenden Einschränkung könnte er sich nötigenfalls an die deutschen Behörden wenden und die ihm zustehenden Aufnahmebedingungen auf dem Rechtsweg einfordern (vgl. Art. 26 Aufnahmerichtlinie). Die deutschen Behörden haben dem Ersuchen der Schweiz zwar nicht gestützt auf Art. 18 Abs. 1 Bst. b Dublin-III-VO, sondern aufgrund von Art. 18 Abs. 1 Bst. d Dublin-III-VO zugestimmt. Da es sich hier um eine Überstellung im Rahmen des Dublin-Verfahrens handelt, obliegt es aber weiterhin den deutschen Behörden, das Verfahren durchzuführen. Unabhängig vom Stand des Asylverfahrens (gemäss den Akten befand sich der Beschwerdeführer bei der Einreise in die Schweiz im Besitze einer deutschen Aufenthaltsgestattung zur Durchführung des Asylverfahrens mit Gültigkeit bis zum 16. März 2020) bleibt Deutschland gemäss Art. 18 Abs. 1 Bst. d Dublin-III-VO für das Verfahren bis zu einem allfälligen Wegweisungsvollzug bzw. einer Regelung des Aufenthalts nach wie vor zuständig (vgl. Urteil des BVGer F-6848/2019 vom 10. Januar 2020 E. 7.3 m.H.).</w:t>
      </w:r>
    </w:p>
    <w:p>
      <w:r>
        <w:rPr>
          <w:b/>
        </w:rPr>
        <w:t>E. 8.5</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8.6</w:t>
      </w:r>
    </w:p>
    <w:p>
      <w:r>
        <w:t>Eine solche Konstellation ist vorliegend nicht gegeben. Der Beschwerdeführer sagte anlässlich des Dublin-Gesprächs nach anfänglichem Zögern aus, dass es ihm gut gehe. In Deutschland habe er sich, um Medikamente zu bekommen, in ärztliche Behandlung begeben. In der Schweiz benötige er keinen Arzt. Im Verlaufe der Befragung wurde er ausdrücklich darauf aufmerksam gemacht, dass er sich im Falle gesundheitlicher Beeinträchtigungen an die Pflege wenden könne (SEM act. 23). Dies hat er in der Folge nicht getan. Auf entsprechende Nachfrage der Pflege des ihm zugewiesenen Bundesasylzentrums soll er am 13. Mai 2020 erklärt haben, dass es ihm gut gehe (SEM act. 29). Dass er im Dublin-Gespräch phasenweise zerstreut wirkte, ist dabei irrelevant. Dementsprechend gelingt es dem Beschwerdeführer nicht nachzuweisen, dass er nicht reisefähig sei oder eine Überstellung nach Deutschland seine Gesundheit ernsthaft gefährden würde. Vor diesem Hintergrund ist deshalb nicht zu beanstanden, dass die Vorinstanz diesbezüglich keine weiteren Vorkehren getroffen hat. Die auf Beschwerdeebene erhobene Rüge der nicht rechtsgenüglichen Sachverhaltsabklärung ist nicht stichhaltig.</w:t>
      </w:r>
    </w:p>
    <w:p>
      <w:r>
        <w:rPr>
          <w:b/>
        </w:rPr>
        <w:t>E. 8.7</w:t>
      </w:r>
    </w:p>
    <w:p>
      <w:r>
        <w:t>Im Übrigen verfügt Deutschland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Im Hinblick auf die vorgenannten Ausführungen darf davon ausgegangen werden, der Beschwerdeführer finde Zugang zu adäquater medizinischer Behandlung, sollte er auf solche angewiesen sein.</w:t>
      </w:r>
    </w:p>
    <w:p>
      <w:r>
        <w:rPr>
          <w:b/>
        </w:rPr>
        <w:t>E. 8.8</w:t>
      </w:r>
    </w:p>
    <w:p>
      <w:r>
        <w:t>Festzuhalten gilt es darüber hinaus, dass die mit der Überstellung beauftragten Behörden die Bedürfnisse des Beschwerdeführers - einschliesslich diejenigen der notwendigen medizinischen Versorgung, auch in Bezug auf die Corona-Problematik - berücksichtigen werden, sollte dies erforderlich sein (vgl. Art. 31 f. Dublin-III-VO). Das SEM hat dies in der angefochtenen Verfügung mit dem Hinweis auf eine allfällige Unterbrechung oder Verlängerung der Überstellungsfrist denn auch bereits signalisiert.</w:t>
      </w:r>
    </w:p>
    <w:p>
      <w:r>
        <w:rPr>
          <w:b/>
        </w:rPr>
        <w:t>E. 8.9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8.10</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