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F-2728/2026 vom 27. April 2026</w:t>
      </w:r>
    </w:p>
    <w:p>
      <w:r>
        <w:t>Bundesverwaltungsgericht, 2026-04-27, DE</w:t>
      </w:r>
    </w:p>
    <w:p>
      <w:r>
        <w:rPr>
          <w:b/>
        </w:rPr>
        <w:t xml:space="preserve">Quelle: </w:t>
      </w:r>
      <w:r>
        <w:t>https://mcp.opencaselaw.ch/entscheid/bvger_F-2728_2026</w:t>
      </w:r>
    </w:p>
    <w:p>
      <w:r>
        <w:t>FR: TAF F-2728/2026 du 27 avril 2026</w:t>
      </w:r>
    </w:p>
    <w:p>
      <w:r>
        <w:t>IT: TAF F-2728/2026 del 27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c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(vgl. statt vieler Urteile des BVGer F-7987/2025 vom 31. Oktober 2025 E.2.1; F-7882/2025 vom 22. Oktober 2025 E. 2.2), und dass vorliegend keine völkerrechtlichen Vollzugshindernisse ersichtlich sind, welche die Schweiz zu einem Selbsteintritt nach Art. 17 Abs. 1 Dublin-III-VO verpflichten würden. Dabei hat sie die Vorbringen des Beschwerdeführers im Hinblick auf den freiwilligen Rückzug des Asylgesuchs, den formellen Abschluss des Verfahrens sowie die Möglichkeit der Stellung eines Asylfolgeantrags in Deutschland berücksichtigt und rechtsprechungskonform gewürdigt. Darüber hinaus hat die Vorinstanz in rechtsfehlerfreier Ausübung des ihm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(Mehrfachgesuch i.S.v. Art. 111c Abs. 1 AsylG) nicht eingetreten und hat in Anwendung von Art. 44 AsylG seine Wegweisung nach Deutschland angeordnet. Zur näheren Begründung wird auf die Erwägungen der Vorinstanz verwiesen.</w:t>
      </w:r>
    </w:p>
    <w:p>
      <w:r>
        <w:rPr>
          <w:b/>
        </w:rPr>
        <w:t>E. 2.2</w:t>
      </w:r>
    </w:p>
    <w:p>
      <w:r>
        <w:t>Was der Beschwerdeführer auf Rechtsmittelebene vorträgt, vermag an der Richtigkeit der angefochtenen Verfügung nichts zu ändern. Sofern er unsubstantiiert vorbringt, in Deutschland habe er unter schweren psychischen Krisen und Suizidgedanken gelitten und eine Rückkehr nach Deutschland würde seine Gesundheit lebensbedrohlich gefährden, bringt er nichts Neues vor. Es liegen keine Arztberichte vor und er legt weiterhin nicht dar, inwiefern es ihm - im Falle einer Rückweisung nach Deutschland - gesundheitlich schlecht gehen sollte. Die Vorbringen des Beschwerdeführers, wonach in der Türkei neue Haftbefehle gegen ihn vorliegen würden und ihm im Falle einer Rückkehr Festnahme, Inhaftierung sowie eine langjährige Freiheitsstrafe drohen würden, beziehen sich in erster Linie auf seine (behauptete) Flüchtlingseigenschaft. Diese ist im vorliegenden Verfahren nicht zu überprüfen, weshalb nicht weiter darauf und die in diesem Zusammenhang eingereichten Beweismittel einzugehen ist. Betreffend seine geltend gemachte Angst vor einer Rückschiebung durch die deutschen Behörden in die Türkei ist darauf hinzuweisen, dass sich weitere Ausführungen zur Einhaltung des Non-Refoulement-Gebots durch die deutschen Behörden vor dem Hintergrund, dass das deutsche Asylsystem rechtsprechungsgemäss keine systemischen Schwachstellen aufweist (vgl. E. 2.1 hiervor), erübrigen (einlässlich dazu Urteil des EuGH vom 30. November 2023, verbundene Rechtssachen C-228/21, C-254/21, C-297/21, C-315/21 und C-328/21, §§ 129-142 und Ziff. 2 des Dispositivs).</w:t>
      </w:r>
    </w:p>
    <w:p>
      <w:r>
        <w:rPr>
          <w:b/>
        </w:rPr>
        <w:t>E. 3</w:t>
      </w:r>
    </w:p>
    <w:p>
      <w:r>
        <w:t>Nach dem Gesagten ist die angefochtene Verfügung vom 13. April 2026 nicht zu beanstanden und die Beschwerde ist abzuweisen.</w:t>
      </w:r>
    </w:p>
    <w:p>
      <w:r>
        <w:rPr>
          <w:b/>
        </w:rPr>
        <w:t>E. 4</w:t>
      </w:r>
    </w:p>
    <w:p>
      <w:r>
        <w:t>Mit vorliegendem Urteil fällt der am 17. April 2026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 gemäss Praxis bei einem Mehrfachgesuch -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