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F-2720/2024 vom 3. April 2024</w:t>
      </w:r>
    </w:p>
    <w:p>
      <w:r>
        <w:t>Bundesverwaltungsgericht, 2024-04-03, FR</w:t>
      </w:r>
    </w:p>
    <w:p>
      <w:r>
        <w:rPr>
          <w:b/>
        </w:rPr>
        <w:t xml:space="preserve">Quelle: </w:t>
      </w:r>
      <w:r>
        <w:t>https://mcp.opencaselaw.ch/entscheid/bvger_F-2720_2024_d20240403</w:t>
      </w:r>
    </w:p>
    <w:p>
      <w:r>
        <w:t>FR: TAF F-2720/2024 du 3 avril 2024</w:t>
      </w:r>
    </w:p>
    <w:p>
      <w:r>
        <w:t>IT: TAF F-2720/2024 del 3 aprile 2024</w:t>
      </w:r>
    </w:p>
    <w:p>
      <w:pPr>
        <w:pStyle w:val="Heading2"/>
      </w:pPr>
      <w:r>
        <w:t>Regeste</w:t>
      </w:r>
    </w:p>
    <w:p>
      <w:r>
        <w:t>Visa Schengen | Refus d'autorisation d'entrée dans l'espace Schengen ; décision du SEM du 3 avril 2024</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de la loi du 17 juin 2005 sur le Tribunal fédéral [LTF ; RS 173.110]).</w:t>
      </w:r>
    </w:p>
    <w:p>
      <w:r>
        <w:rPr>
          <w:b/>
        </w:rPr>
        <w:t>E. 1.2</w:t>
      </w:r>
    </w:p>
    <w:p>
      <w:r>
        <w:t>A moins que la LTAF n’en dispose autrement, la procédure devant le Tribunal est régie par la PA (cf. art. 37 LTAF). La recourante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la date originairement prévue pour la visite du requérant soit dépassée, en ce sens qu’elle souhaite toujours recevoir le requérant en Suisse. Présenté dans la forme et les délais prescrits par la loi, le recours est recevable (cf.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et réf. cit.).</w:t>
      </w:r>
    </w:p>
    <w:p>
      <w:r>
        <w:t>Page 5</w:t>
      </w:r>
    </w:p>
    <w:p>
      <w:r>
        <w:rPr>
          <w:b/>
        </w:rPr>
        <w:t>E. 3.1</w:t>
      </w:r>
    </w:p>
    <w:p>
      <w:r>
        <w:t>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w:t>
      </w:r>
    </w:p>
    <w:p>
      <w:r>
        <w:rPr>
          <w:b/>
        </w:rPr>
        <w:t>E. 3.2</w:t>
      </w:r>
    </w:p>
    <w:p>
      <w:r>
        <w:t>En l’espèce, la demande de visa en cause a été déposée par une personne étrangère qui ne peut se prévaloir de l’accord sur la libre circulation des personnes (ALCP ; RS 0.142.112.681). En outre, le requérant souhaite venir en Suisse pour une durée de 30 jours et est soumis en tant que ressortissant pakistanais à l’obligation de visa, conformément à l’annexe I du règlement (UE) 2018/1806 précité. La règlementation Schengen, reprise par la Suisse, trouve ainsi application en l’espèce.</w:t>
      </w:r>
    </w:p>
    <w:p>
      <w:r>
        <w:rPr>
          <w:b/>
        </w:rPr>
        <w:t>E. 3.3</w:t>
      </w:r>
    </w:p>
    <w:p>
      <w:r>
        <w:t>S’agissant des conditions d'entrée en Suisse pour un séjour n’excédant pas 90 jours, l’art. 6 du code frontières Schengen (référence</w:t>
      </w:r>
    </w:p>
    <w:p>
      <w:r>
        <w:t>Page 6</w:t>
      </w:r>
    </w:p>
    <w:p>
      <w:r>
        <w:t>complète : Règlement [UE] n° 2016/399 du Parlement européen et du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w:t>
      </w:r>
    </w:p>
    <w:p>
      <w:r>
        <w:t>Page 7</w:t>
      </w:r>
    </w:p>
    <w:p>
      <w:r>
        <w:t>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w:t>
      </w:r>
    </w:p>
    <w:p>
      <w:r>
        <w:rPr>
          <w:b/>
        </w:rPr>
        <w:t>E. 3.4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4.1</w:t>
      </w:r>
    </w:p>
    <w:p>
      <w:r>
        <w:t>Dans sa décision du 3 avril 2024 et réponse du 25 juin 2024, l’autorité inférieure a considéré que la sortie de l’invité de l’Espace Schengen au terme du séjour sollicité n’apparaissait pas suffisamment garantie, d’une part au regard de la situation socio-économique prévalant dans le pays d’origine et, d’autre part, au regard de la situation personnelle du requérant. A cet égard, le SEM a retenu que les moyens de subsistance dont ce dernier disposait ne permettaient pas de financer son voyage ainsi que ses frais de son séjour. Des demandes de visa avaient en outre été refusées à l’intéressé par l’Allemagne en 2019 et 2020 ainsi que par la Suisse en 2022. Enfin, le but du séjour de l’invité ne pouvait pas être établi avec certitude.</w:t>
      </w:r>
    </w:p>
    <w:p>
      <w:r>
        <w:rPr>
          <w:b/>
        </w:rPr>
        <w:t>E. 4.2</w:t>
      </w:r>
    </w:p>
    <w:p>
      <w:r>
        <w:t>Dans ses écritures, l’hôte a rappelé qu’il s’agissait d’une visite familiale, que le requérant n’avait aucune intention de s’établir en Suisse et qu’elle était prête à subvenir aux besoins de son invité durant le séjour de ce dernier. La recourante a exposé que ce dernier exerçait un rôle essentiel en tant que directeur général d’une entreprise de construction et de manufacture au Pakistan, dont il détenait aussi des actions. De plus, elle a indiqué que l’épouse du requérant ainsi que ses trois enfants vivaient au Pakistan. Les deux enfants mineurs de l’intéressé étaient scolarisés au Pakistan, tandis que la fille aînée s’apprêtait à partir étudier au Qatar. Enfin, elle a insisté sur le fait le requérant se serait déjà rendu de nombreuses</w:t>
      </w:r>
    </w:p>
    <w:p>
      <w:r>
        <w:t>Page 8</w:t>
      </w:r>
    </w:p>
    <w:p>
      <w:r>
        <w:t>fois dans l’Espace Schengen et au Royaume-Uni, en respectant à chaque fois la durée de validité des visas qui lui avaient été octroyés.</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5.2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5.3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w:t>
      </w:r>
    </w:p>
    <w:p>
      <w:r>
        <w:rPr>
          <w:b/>
        </w:rPr>
        <w:t>E. 6.1</w:t>
      </w:r>
    </w:p>
    <w:p>
      <w:r>
        <w:t>Dans le cas particulier, compte tenu de la situation générale prévalant au Pakistan notamment sur le plan socio-économique et des nombreux avantages qu’offrent la Suisse et d’autres pays membres de l’Espace</w:t>
      </w:r>
    </w:p>
    <w:p>
      <w:r>
        <w:t>Page 9</w:t>
      </w:r>
    </w:p>
    <w:p>
      <w:r>
        <w:t>Schengen (notamment en termes de sécurité, de niveau de vie, d’emploi, de formation et d’infrastructures socio-médicales), le Tribunal ne saurait de prime abord écarter les craintes émises par l'autorité inférieure quant à une éventuelle prolongation du séjour du requérant sur le territoire helvétique (respectivement l’Espace Schengen) au-delà de la durée de validité du visa convoité.</w:t>
      </w:r>
    </w:p>
    <w:p>
      <w:r>
        <w:rPr>
          <w:b/>
        </w:rPr>
        <w:t>E. 6.2</w:t>
      </w:r>
    </w:p>
    <w:p>
      <w:r>
        <w:t>et F-5990/2019 précité consid. 6.4). Cette tendance migratoire n’est que renforcée lorsque la personne concernée peut s’appuyer sur un réseau social préexistant dans son pays de destination, comme c’est précisément le cas en l’espèce (ATAF 2014/1, consid. 6.2.2 ; arrêt du TAF F-3804/2022 du 19 juin 2023 consid. 5.2).</w:t>
      </w:r>
    </w:p>
    <w:p>
      <w:r>
        <w:rPr>
          <w:b/>
        </w:rPr>
        <w:t>E. 6.3</w:t>
      </w:r>
    </w:p>
    <w:p>
      <w:r>
        <w:t>Ainsi, les conditions de vie défavorables que connaît actuellement le Pakistan sur le plan sécuritaire et les disparités considérables existant entre ce pays et la Suisse sur le plan socio-économique ne sont pas sans exercer une très forte pression migratoire, une circonstance qui ne saurait plaider en faveur de la délivrance du visa sollicité par l’intéressé (cf., dans le même sens, les arrêts du TAF F‑5233/2018 du 15 mai 2020 consid.</w:t>
      </w:r>
    </w:p>
    <w:p>
      <w:r>
        <w:rPr>
          <w:b/>
        </w:rPr>
        <w:t>E. 7</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(cf. ATAF 2014/1 consid. 6.3.1). Ainsi, si la personne invitée assume d'importantes responsabilités dans son pays d'origine, au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consid. 8).</w:t>
      </w:r>
    </w:p>
    <w:p>
      <w:r>
        <w:rPr>
          <w:b/>
        </w:rPr>
        <w:t>E. 7.1</w:t>
      </w:r>
    </w:p>
    <w:p>
      <w:r>
        <w:t>Il convient dès lors d’examiner si la situation financière, professionnelle, familiale et personnelle du requérant plaide en faveur de sa sortie ponctuelle de Suisse, respectivement de l’Espace Schengen, au terme du séjour envisagé.</w:t>
      </w:r>
    </w:p>
    <w:p>
      <w:r>
        <w:t>Page 11</w:t>
      </w:r>
    </w:p>
    <w:p>
      <w:r>
        <w:rPr>
          <w:b/>
        </w:rPr>
        <w:t>E. 7.1.1</w:t>
      </w:r>
    </w:p>
    <w:p>
      <w:r>
        <w:t>Sur le plan financier, contrairement aux constatations du SEM, le relevé du compte (qui autorise manifestement les retraits jusqu’à une certaine somme par jour) produit à l’appui de la demande présente, un solde d’environ 320'000 euros au 1er mai 2024. Si ce montant n’est pas négligeable, le Tribunal relève qu’il ressort toutefois du dossier que les finances du requérant étaient inexistantes avant le dépôt de la précédente demande de visa en 2022. A noter encore que le relevé dont il vient d’être fait mention laisse apparaître des crédits mensuels de l’ordre de 350 euros qui, au regard de la déclaration fiscale remplie par le requérant pour la période courant de juillet 2022 à juin 2023, correspondent vraisemblablement au revenu perçu par ce dernier. Un tel revenu – dans la moyenne nationale – doit toutefois être qualifié de modeste. Selon les indications de la recourante, l’intéressé disposerait certes d’autres ressources au Pakistan. Comme relevé à juste titre par le SEM, ces dernières ne sont cependant en tout état pas liquides et la recourante ne prétend pas que tel serait le cas.</w:t>
      </w:r>
    </w:p>
    <w:p>
      <w:r>
        <w:rPr>
          <w:b/>
        </w:rPr>
        <w:t>E. 7.1.2</w:t>
      </w:r>
    </w:p>
    <w:p>
      <w:r>
        <w:t>S’agissant de la situation professionnelle du requérant, il ressort des déclarations de la recourante que ce dernier exerce la fonction de directeur général depuis plusieurs années au sein de l’entreprise (…) dont il est également actionnaire. Toutefois, aucune pièce au dossier ne décrit les responsabilités et obligations professionnelles concrètes du requérant dans ce cadre, de sorte qu’il apparaît parfaitement possible pour l’intéressé de diriger cette entreprise à distance. Il n’est ainsi pas établi que la présence de l’intéressé soit indispensable au bon fonctionnement de l’entreprise, ce que le fait que ce dernier puisse envisager de s’absenter pour une période de 30 jours semble corroborer. Le revenu perçu par ce dernier apparaît par ailleurs étonnamment faible au vu de la fonction qu’il est censé exercer.</w:t>
      </w:r>
    </w:p>
    <w:p>
      <w:r>
        <w:rPr>
          <w:b/>
        </w:rPr>
        <w:t>E. 7.1.3</w:t>
      </w:r>
    </w:p>
    <w:p>
      <w:r>
        <w:t>Concernant la situation familiale et personnelle du requérant, la recourante a indiqué que l’épouse de ce dernier ainsi que deux de ses enfants résidaient au Pakistan. Elle n’a toutefois fourni aucune précision quant à l’intensité de la relation entretenue par le requérant avec les membres de sa famille, ni mentionné l’existence de responsabilités familiales telles qu’elles seraient susceptibles de dissuader le requérant, au regard de la jurisprudence, de prolonger son séjour en Suisse.</w:t>
      </w:r>
    </w:p>
    <w:p>
      <w:r>
        <w:rPr>
          <w:b/>
        </w:rPr>
        <w:t>E. 7.1.4</w:t>
      </w:r>
    </w:p>
    <w:p>
      <w:r>
        <w:t>Pour le surplus, l’intéressé n’a pas prétendu entretenir d’autres relations amicales ou effectives d’une certaine intensité dans son pays</w:t>
      </w:r>
    </w:p>
    <w:p>
      <w:r>
        <w:t>Page 12</w:t>
      </w:r>
    </w:p>
    <w:p>
      <w:r>
        <w:t>d’origine. L’invité n’a pas non plus invoqué avoir d’engagements associatifs ou autres au Pakistan.</w:t>
      </w:r>
    </w:p>
    <w:p>
      <w:r>
        <w:rPr>
          <w:b/>
        </w:rPr>
        <w:t>E. 7.1.5</w:t>
      </w:r>
    </w:p>
    <w:p>
      <w:r>
        <w:t>Ainsi, l’invité n’a pas démontré avoir de liens particulièrement étroits avec le Pakistan sous la forme d’attaches professionnelles, familiales ou sociales qui permettraient – au regard de la jurisprudence – d’émettre un pronostic favorable quant à son retour dans son pays de résidence. La réservation d’un billet d’avion aller-retour ainsi que la conclusion d’une assurance de voyage ne suffisent pas à garantir son départ de Suisse dans les délais prescrits. Dans ces circonstances, l’invité pourrait donc se créer une nouvelle existence hors de son pays de résidence sans que cela n’entraîne pour lui de difficultés particulières sur la plan familial, professionnel ou social. Ce constat a pour corollaire que le risque migratoire inhérent à la présente cause doit être jugé élevé. Ainsi que l'expérience l'a montré, ce risque est encore renforcé lorsque, comme en l’espèce, les personnes concernées ont de la famille en Suisse (cf. ATAF 2014/1 consid. 6.2.2, 2009/27 consid. 7).</w:t>
      </w:r>
    </w:p>
    <w:p>
      <w:r>
        <w:rPr>
          <w:b/>
        </w:rPr>
        <w:t>E. 7.2</w:t>
      </w:r>
    </w:p>
    <w:p>
      <w:r>
        <w:t>Le souhait de l’invité de rendre visite en Suisse à son frère et à la famille de celui-ci est certes compréhensible et légitime, mais ne constitue pas à lui seul un motif justifiant l’octroi d’un visa en sa faveur, auquel il n’a d’ailleurs aucun droit. Du reste, seule la recourante – à savoir la belle-sœur du requérant – évoque la nécessité d’une réunion familiale. Elle indique toutefois qu’il est notamment question de rendre visite à sa famille à elle en France. Au vu des circonstances sus-évoquées, le Tribunal partage les interrogations du SEM quant au but véritable du séjour de l’invité.</w:t>
      </w:r>
    </w:p>
    <w:p>
      <w:r>
        <w:rPr>
          <w:b/>
        </w:rPr>
        <w:t>E. 7.3</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 par la personne invitée quant à sa sortie ponctuelle de Suisse, ne suffisaient pas à assurer le départ effectif de cette dernière dans les délais prévus, celles-ci n’emportant aucun effet juridique.</w:t>
      </w:r>
    </w:p>
    <w:p>
      <w:r>
        <w:t>Page 13</w:t>
      </w:r>
    </w:p>
    <w:p>
      <w:r>
        <w:t>Ainsi, si de tels engagements sont certes pris en considération pour apprécier si un visa peut (on non) être accordé, ils ne sauraient être tenus pour décisifs, car ils ne permettent pas d’exclure l’éventualité que la personne invitée – qui conserve la seule maîtrise de ses actes –, une fois en Suisse, prenne la décision de s’y installer durablement en entrant dans la clandestinité (problématique des sans-papiers) ou un entreprenant des démarches administratives afin d’y prolonger son séjour (cf. ATAF 2014/1 consid. 6.3.7, 2009/27 consid. 9).</w:t>
      </w:r>
    </w:p>
    <w:p>
      <w:r>
        <w:rPr>
          <w:b/>
        </w:rPr>
        <w:t>E. 7.4</w:t>
      </w:r>
    </w:p>
    <w:p>
      <w:r>
        <w:t>Au demeurant, rien ne permet de penser que la famille de la recourante et le requérant se trouveraient durablement dans l’impossibilité de se rencontrer ailleurs qu’en Suisse. A cet égard, ils conservent en effet la possibilité de se réunir avec sa famille hors de l’Espace Schengen, nonobstant les inconvénients d’ordre pratique ou financier que cela pourrait engendrer (cf. arrêt du TAF F-6144/2019 du 9 septembre 2020 consid. 6.2). Les contacts sont certainement déjà maintenus par d’autres moyens, tels que la communication téléphonique, la correspondance et les visioconférences, et pourront se poursuivre à l’avenir.</w:t>
      </w:r>
    </w:p>
    <w:p>
      <w:r>
        <w:rPr>
          <w:b/>
        </w:rPr>
        <w:t>E. 7.5</w:t>
      </w:r>
    </w:p>
    <w:p>
      <w:r>
        <w:t>Par ailleurs, même si la recourante a indiqué que son invité avait déjà, à maintes reprises, séjourné dans l’Espace Schengen et au Royaume-Uni en respectant la durée de chaque visa respectif, le Tribunal ne saurait se baser sur le comportement d’alors de l’invité pour juger de la probabilité de sa sortie régulière de l’Espace Schengen si un visa devait lui être délivré. En effet, l’autorité procède à une analyse spécifique de chaque demande de visa en tenant compte à la fois de la situation personnelle du requérant et de celle prévalant dans son pays d’origine ou de résidence au moment de statuer, situation qui est toujours susceptible d’évoluer au gré des événements (cf. consid. 7.1).</w:t>
      </w:r>
    </w:p>
    <w:p>
      <w:r>
        <w:rPr>
          <w:b/>
        </w:rPr>
        <w:t>E. 7.6</w:t>
      </w:r>
    </w:p>
    <w:p>
      <w:r>
        <w:t>Il résulte de ce qui précède que le Tribunal ne saurait reprocher à l’autorité inférieure d’avoir confirmé le refus d’autorisation d’entrée dans l’Espace Schengen à l’égard de l’invité.</w:t>
      </w:r>
    </w:p>
    <w:p>
      <w:r>
        <w:rPr>
          <w:b/>
        </w:rPr>
        <w:t>E. 8</w:t>
      </w:r>
    </w:p>
    <w:p>
      <w:r>
        <w:t>Enfin, le Tribunal constate que le dossier ne laisse pas apparaître de motifs susceptibles de justifier la délivrance de visas à validité territoriale limitée en faveur du requérant (cf. consid. 3.4 supra).</w:t>
      </w:r>
    </w:p>
    <w:p>
      <w:r>
        <w:t>Page 14</w:t>
      </w:r>
    </w:p>
    <w:p>
      <w:r>
        <w:rPr>
          <w:b/>
        </w:rPr>
        <w:t>E. 9</w:t>
      </w:r>
    </w:p>
    <w:p>
      <w:r>
        <w:t>Il s’ensuit que, par sa décision du 3 avril 2024, l’autorité intimée n’a ni violé le droit fédéral, ni constaté les faits pertinents de manière inexacte ou incomplète. En outre, cette décision n’est pas inopportune (cf. art. 49 PA). Par conséquent, le recours est rejeté.</w:t>
      </w:r>
    </w:p>
    <w:p>
      <w:r>
        <w:rPr>
          <w:b/>
        </w:rPr>
        <w:t>E. 10</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cette dernière n’a, par ailleurs, pas droit à des dépens (cf. art. 64 al. 1 PA a contrario).</w:t>
      </w:r>
    </w:p>
    <w:p>
      <w:r>
        <w:t>(dispositif – page suivante)</w:t>
      </w:r>
    </w:p>
    <w:p>
      <w:r>
        <w:t>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