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F-2716/2024 vom 10. Mai 2024</w:t>
      </w:r>
    </w:p>
    <w:p>
      <w:r>
        <w:t>Bundesverwaltungsgericht, 2024-05-10, DE</w:t>
      </w:r>
    </w:p>
    <w:p>
      <w:r>
        <w:rPr>
          <w:b/>
        </w:rPr>
        <w:t xml:space="preserve">Quelle: </w:t>
      </w:r>
      <w:r>
        <w:t>https://mcp.opencaselaw.ch/entscheid/bvger_F-2716_2024</w:t>
      </w:r>
    </w:p>
    <w:p>
      <w:r>
        <w:t>FR: TAF F-2716/2024 du 10 mai 2024</w:t>
      </w:r>
    </w:p>
    <w:p>
      <w:r>
        <w:t>IT: TAF F-2716/2024 del 10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berührt und hat ein schutzwürdiges Interesse an deren Aufhebung beziehungsweise Änderung. Sie ist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Die Beschwerdeführerin beantragt die Ansetzung einer Nachfrist zur Beschwerdeergänzung gemäss Art. 53 VwVG. Zur Begründung führt sie an, sie habe aufgrund der äusserst kurzen Beschwerdefrist sowie der Niederlegung des Mandats durch die vorherige Rechtsvertretung nur wenig Zeit für die Anwaltssuche gehabt. Folglich sei es der Rechtsvertretung nicht möglich gewesen, vor Ablauf der Beschwerdefrist ein ausführliches Gespräch zu organisieren, insbesondere da zwingend eine Dolmetscherin hätte beigezogen werden müssen, was nicht möglich gewesen sei. Es sei deshalb eine angemessene Frist zu gewähren, um die Beschwerde zu ergänzen und gegebenenfalls noch weitere Beweismittel einzureichen (vgl. Beschwerde Ziff. 30).</w:t>
      </w:r>
    </w:p>
    <w:p>
      <w:r>
        <w:rPr>
          <w:b/>
        </w:rPr>
        <w:t>E. 3.2</w:t>
      </w:r>
    </w:p>
    <w:p>
      <w:r>
        <w:t>Die Beschwerdeführerin hatte vorliegend trotz der kurzen Beschwerdefrist offensichtlich genügend Zeit, um eine neue Rechtsvertretung aufzusuchen - wenn auch erst am letzten Tag der Frist - und eine einlässlich begründete und mit Rechtsbegehren versehene Beschwerde einzureichen. Sie hatte sodann anlässlich des Dublins-Gesprächs die Gelegenheit, allfällige Gründe, die gegen eine Wegweisung nach Kroatien sprechen würden, anzugeben. Es besteht deshalb kein Anlass, ihr eine Frist zur Ergänzung der Beschwerde anzusetzen.</w:t>
      </w:r>
    </w:p>
    <w:p>
      <w:r>
        <w:rPr>
          <w:b/>
        </w:rPr>
        <w:t>E. 4.1</w:t>
      </w:r>
    </w:p>
    <w:p>
      <w:r>
        <w:t>Die Beschwerdeführerin bemängelt den angefochtenen Entscheid des SEM in formeller Hinsicht in verschiedenen Punkten, so im Zusammenhang mit der Situation in Kroatien, systemischen Mängeln im Asylverfahren, Push-Backs und Kettenabschiebungen, Polizeigewalt und fehlender rechtlicher Möglichkeiten, sich dagegen zu wehren, Gesundheitsversorgung und Unterbringungsmöglichkeiten für Asylsuchende sowie bezüglich des fehlenden Zugangs zum Asylverfahren. Die Vorinstanz habe es sodann versäumt, eine individuelle und geschlechterspezifische Beurteilung ihrer Gesuchsgründe im Hinblick auf Kroatien vorzunehmen, wodurch Art. 2 Bst. e und f sowie Art. 3 des Übereinkommens zur Beseitigung jeder Form von Diskriminierung der Frau (CEDAW; SR 0.108) verletzt worden seien. Die Vorinstanz habe insgesamt wichtige Tatsachen, welche zur Zuständigkeit der Schweizer Behörden führen würden, nicht näher abgeklärt. Ein pauschaler Verweis auf die theoretisch bestehenden völkerrechtlichen Verpflichtungen in Kroatien reiche bei derart klaren Hinweisen auf Verletzung derselben nicht aus, um eine Rückführung ohne weitere Abklärungen zu rechtfertigen. Dadurch liege eine Verletzung des Untersuchungsgrundsatzes und - sinngemäss - des rechtlichen Gehörs (Begründungspflicht) vor. Diese formellen Rügen sind vorab zu beurteilen.</w:t>
      </w:r>
    </w:p>
    <w:p>
      <w:r>
        <w:rPr>
          <w:b/>
        </w:rPr>
        <w:t>E. 4.2</w:t>
      </w:r>
    </w:p>
    <w:p>
      <w:r>
        <w:t>Die unrichtige oder unvollständige Feststellung des rechtserheblichen Sachverhalts kann nach Art. 49 Bst. b VwVG gerügt werden. Unrichtig ist die Sachverhaltsfeststellung beispielsweise, wenn der Verfügung ein aktenwidriger oder nicht weiter belegbarer Sachverhalt zugrunde gelegt wurde. Unvollständig ist sie, wenn die Behörde trotz der geltenden Untersuchungsmaxime den Sachverhalt nicht von Amtes wegen rechtsgenüglich abgeklärt oder nicht alle für den Entscheid wesentlichen Sachumstände berücksichtigt hat (BVGE 2008/43 E. 7.5.6; vgl. auch Benjamin Schindler, in: Kommentar zum VwVG, 2. Aufl. 2019, Art. 49 N. 29). Das SEM hat den rechtserheblichen Sachverhalt hinreichend abgeklärt. Es hat sich unter Bezugnahme auf die Schilderungen der Beschwerdeführerin und den vorliegenden Unterlagen (vgl. SEM act. 1316064-26/12 [nachfolgend: act. 26]) mit ihrer individuellen Situation, dem Asylverfahren und den Aufnahmebedingungen in Kroatien, der von ihr angeführten Behandlung nach ihrem Grenzübertritt, den ihr offenstehenden Möglichkeiten, sich dort gegen ungerechte oder rechtswidrige Behandlung zu wehren, der allgemeinen Situation inklusive der Push-Back-Problematik - unter Hinweis auf mehrere Abklärungen der Schweizer Vertretung in Kroatien - und der Möglichkeit, sich bei allfälligen gesundheitlichen Problemen in Kroatien behandeln zu lassen, auseinandergesetzt. Das SEM hat sich in seiner Verfügung insbesondere auch mit ihrem Gesundheitszustand rechtsgenüglich auseinandergesetzt und dazu den medizinischen Sachverhalt gestützt auf ihre Angaben im Dublin-Gespräch und den in den Akten liegenden medizinischen Berichten zusammengefasst (vgl. SEM act. 26, S. 5 ff.). Weitere medizinische Abklärungen hielt das SEM hingegen zu Recht nicht für erforderlich (vgl. auch nachfolgende E. 8.4). Soweit die Beschwerdeführerin moniert, das SEM habe es unterlassen, eine individuelle und geschlechterspezifische Beurteilung ihrer Gesuchsgründe im Hinblick auf Kroatien vorzunehmen, vermag dieser Einwand nicht durchzudringen. Sie selber hat im Verlauf des Verfahrens keine geschlechtsspezifischen Vorbringen gemacht und es ist nicht ersichtlich, in welcher Hinsicht hier die Vorinstanz weitere Abklärungen hätte tätigen sollen. Zudem erhielt sie im Rahmen des am 8. März 2024 anlässlich des Dublin-Gesprächs gewährten rechtlichen Gehörs die Möglichkeit, sich zu allfälligen Wegweisungsvollzugshindernissen zu äussern (vgl. SEM act. 1316064-15/2 [nachfolgend: act. 15]), wovon sie Gebrauch machte.</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eine Einzelfallprüfung vorgenommen, indem sie nach Prüfung sowie Würdigung der Parteivorbringen und Unterlagen nachvollziehbar aufgezeigt hat, von welchen Überlegungen sie sich - gerade auch in individueller Hinsicht - leiten liess (vgl. act. 26 S. 2 ff.). Dabei musste sie sich nicht ausdrücklich mit jeder tatbestandlichen Behauptung und jedem rechtlichen Einwand auseinandersetzen, sondern durfte sich auf die wesentlichen Gesichtspunkte beschränken (BGE 143 III 65 E. 5.2), was sie vorliegend getan hat. So sind den Erwägungen der Vorinstanz Ausführungen zur illegalen Einreise der Beschwerdeführerin respektive zur damit im Zusammenhang stehenden Problematik von Push-Backs, zur Frage einer Kettenabschiebung und zu derjenigen des Vorliegens von systemischen Mängeln im kroatischen Asyl- und Aufnahmesystem sowie zu den Möglichkeiten, sich gegen unkorrektes Verhalten zu wehren und medizinisch versorgt zu werden, zu entnehmen. Eine Verletzung der Begründungspflicht ist auch deshalb zu verneinen, weil es der Beschwerdeführerin möglich war, sich ein Bild über die Tragweite des vorinstanzlichen Entscheides zu machen und diesen sachgerecht anzufechten. Dass sie die Schlussfolgerungen der Vorinstanz nicht teilt, ist keine Verletzung des rechtlichen Gehörs, sondern betrifft die materielle Beurteilung der vorgebrachten Überstellungshindernisse.</w:t>
      </w:r>
    </w:p>
    <w:p>
      <w:r>
        <w:rPr>
          <w:b/>
        </w:rPr>
        <w:t>E. 4.4</w:t>
      </w:r>
    </w:p>
    <w:p>
      <w:r>
        <w:t>Die formellen Rügen erweisen sich somit als unbegründet. Es besteht keine Veranlassung, die Sache zur Neubeurteilung an die Vorinstanz zurückzuweisen. Das diesbezügliche Eventualbegehren (Rechtsbegehren Ziff. 3)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w:t>
      </w:r>
    </w:p>
    <w:p>
      <w:r>
        <w:t>Vorliegend sind sowohl die Antragsstellung in Kroatien als auch der Umstand als erstellt zu erachten, dass das kroatische Verfahren zur Bestimmung des für das Asylgesuch der Beschwerdeführerin zuständigen Mitgliedstaates gemäss Art. 20 Abs. 5 Dublin-III-VO noch nicht abgeschlossen wurde und nach ihrer Rücküberstellung fortgesetzt wird (vgl. Urteil des BVGer F-5023/2022 vom 23. November 2022 E. 4.4 f. m.H.; SEM act. 1316064-24/2). Sodann ist in grundsätzlicher Hinsicht festzuhalten, dass die Dublin-III-VO den Schutzsuchenden kein Recht einräumt, den ihren Antrag prüfenden Staat selber auszuwählen (vgl. BVGE 2010/45 E. 8.3). Ferner sind sämtliche Dublin-Mitgliedstaaten dazu verpflichtet,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7</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Das Bundesverwaltungsgericht geht derzeit - auch unter Berücksichtigung kritischer Berichte nationaler und internationaler Organisationen sowie der diesbezüglich in der Rechtsmitteleingabe zitierten Quellenhinweise (vgl. S. 5 ff.) -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Referenzurteil des BVGer E-1488/2020 vom 22. März 2023 E. 9 sowie insbesondere E. 9.4.2 m.H. auf die Rechtsprechung anderer Dublin-Staaten). Die nicht weiter belegten Ausführungen der Beschwerdeführerin zu erlebter Polizeigewalt und allgemein schlechter Behandlung in Kroatien im Zusammenhang mit ihrer illegalen Einreise (vgl. SEM act. 24 und act. 25) sind nicht geeignet, die Annahme zu widerlegen, wonach Kroatien seinen völkerrechtlichen Verpflichtungen im Rahmen eines Asylverfahrens nachkommt (vgl. Referenzurteil E-1488/2020 E. 8 und E. 9.5). Gegen das Fehlverhalten von einzelnen Polizeibeamten könnte sie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7.3</w:t>
      </w:r>
    </w:p>
    <w:p>
      <w:r>
        <w:t>Unter diesen Umständen ist die Anwendung von Art. 3 Abs. 2 Dublin-III-VO nicht gerechtfertigt.</w:t>
      </w:r>
    </w:p>
    <w:p>
      <w:r>
        <w:rPr>
          <w:b/>
        </w:rPr>
        <w:t>E. 8.1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8.2</w:t>
      </w:r>
    </w:p>
    <w:p>
      <w:r>
        <w:t>Die Beschwerdeführerin bringt hierzu vor, sie würde es psychisch nicht ertragen, nach Kroatien zurückkehren, wo sie mit Waffen bedroht und schlecht behandelt worden sei. Sie sei wegen Todesdrohungen aus der Türkei geflohen und in die Schweiz gereist, um hier Schutz zu erbitten (vgl. dazu SEM act. 15/2, S. 2).</w:t>
      </w:r>
    </w:p>
    <w:p>
      <w:r>
        <w:rPr>
          <w:b/>
        </w:rPr>
        <w:t>E. 8.3</w:t>
      </w:r>
    </w:p>
    <w:p>
      <w:r>
        <w:t>Mangels systemischer Mängel im Sinne von Art. 3 Abs. 2 Dublin-III-VO kann vermutungsweise davon ausgegangen werden, dass Kroatien seinen völker- und gemeinschaftsrechtlichen Verpflichtungen gegenüber Personen in der Situation der Beschwerdeführerin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Die Beschwerdeführerin vermag jedoch kein ernsthaftes Risiko darzutun, die Behörden würden sich weigern, sie aufzunehmen und einen allfälligen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Behörden haben ihrer Aufnahme explizit zugestimmt. Ausserdem hat sie nicht dargetan, die sie bei einer Rückführung erwartenden Bedingungen seien derart schlecht, dass sie zu einer Verletzung von Art. 4 der EU-Grundrechtecharta, Art. 3 EMRK oder Art. 3 Folterkonvention (SR 0.105) führen könnten. Bei einer allfälligen vorübergehenden Einschränkung wäre sie nötigenfalls gehalten, sich an die dortigen Behörden zu wenden und die ihr zustehenden Aufnahmebedingungen auf dem Rechtsweg einzufordern (vgl. Art. 26 Aufnahmerichtlinie). Dies gilt auch in Bezug auf das geltend gemachte Verhalten seitens der kroatischen Behörden, das sich im Übrigen auf Vorkommnisse nach ihrer illegalen Einreise und nicht auf den Aufenthalt in den dortigen Aufenthaltsstrukturen bezieht. Hinsichtlich der gerügten Verletzung von Art. 2 Bst. e und f sowie Art. 3 CEDAW ist festzuhalten, dass die Beschwerdeführerin daraus nichts zu ihren Gunsten ableiten kann. Diese Bestimmungen richten sich in erster Linie an die Legislative, die Politik und die Gesellschaft (vgl. BGE 137 I 305 E. 3.2; Urteile des BVGer F-663/2023 vom 17. Januar 2024 E. 4.5; E-1087/2023 vom 1. März 2023 E. 8.3; F-23/2023 vom 10. Januar 2023 E. 7.3).</w:t>
      </w:r>
    </w:p>
    <w:p>
      <w:r>
        <w:rPr>
          <w:b/>
        </w:rPr>
        <w:t>E. 8.4</w:t>
      </w:r>
    </w:p>
    <w:p>
      <w:r>
        <w:t>Zum Gesundheitszustand ist festzuhalten, dass die Beschwerdeführerin anführte, physisch gesund, jedoch aufgrund gewisser Fluchterlebnisse manchmal sehr weinerlich zu sein. Den in den Akten liegenden ärztlichen Unterlagen (Aufzählung Unterlagen) ist zu entnehmen, dass sie wegen (Nennung Grund) in Behandlung war und anschliessend in gebessertem Allgemeinzustand nach Hause entlassen werden konnte (vgl. SEM act. 1316064-21/2 und 1316064-22/2). Diesbezüglich ist anzuführen, dass in Kroatien eine ausreichende medizinische Infrastruktur zur Verfügung steht; zudem gibt es keine Anhaltspunkte dafür, dass der Beschwerdeführerin dort nach einer Überstellung eine allenfalls erforderliche medizinische Behandlung verweigert würde, zumal die Mitgliedstaaten zur entsprechenden Erbringung verpflichtet sind (vgl. Art. 26 Aufnahmerichtlinie). Insgesamt droht keine Verletzung von Art. 3 EMRK, weshalb die Schweiz nicht zum Selbsteintritt nach Art. 17 Abs. 1 Dublin-III-VO verpflichtet ist. Aufgrund der konkreten Ausgangslage ist es nicht angezeigt, die Vor-instanz zu verpflichten, bei den kroatischen Behörden individuelle Garantien hinsichtlich Unterkunft, Nahrung und adäquater medizinischer Versorgung einzuholen. Der entsprechende Eventualantrag (Rechtsmitteleingabe S. 10, Ziff. 29) ist abzuweisen.</w:t>
      </w:r>
    </w:p>
    <w:p>
      <w:r>
        <w:rPr>
          <w:b/>
        </w:rPr>
        <w:t>E. 8.5</w:t>
      </w:r>
    </w:p>
    <w:p>
      <w:r>
        <w:t>Nach dem Ausgeführten kann die Beschwerdeführerin kein konkretes und ernsthaftes Risiko dartun, dass ihre Überstellung nach Kroatien die Verletzung völkerrechtlicher Bestimmungen zur Folge hätte. Ein notwendiger Selbsteintritt gebietet sich daher nicht.</w:t>
      </w:r>
    </w:p>
    <w:p>
      <w:r>
        <w:rPr>
          <w:b/>
        </w:rPr>
        <w:t>E. 9.1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w:t>
      </w:r>
    </w:p>
    <w:p>
      <w:r>
        <w:rPr>
          <w:b/>
        </w:rPr>
        <w:t>E. 9.2</w:t>
      </w:r>
    </w:p>
    <w:p>
      <w:r>
        <w:t>Nach dem Gesagten bleibt Kroatien der für die Behandlung des Asylgesuchs der Beschwerdeführerin zuständige Mitgliedstaat gemäss Dublin-III-VO.</w:t>
      </w:r>
    </w:p>
    <w:p>
      <w:r>
        <w:rPr>
          <w:b/>
        </w:rPr>
        <w:t>E. 10</w:t>
      </w:r>
    </w:p>
    <w:p>
      <w:r>
        <w:t>Das SEM ist zu Recht in Anwendung von Art. 31a Abs. 1 Bst. b AsylG auf das Asylgesuch der Beschwerdeführerin nicht eingetreten. Die Überstellung nach Kroatien wurde in Anwendung von Art. 44 AsylG ebenfalls zu Recht angeordnet.</w:t>
      </w:r>
    </w:p>
    <w:p>
      <w:r>
        <w:rPr>
          <w:b/>
        </w:rPr>
        <w:t>E. 11</w:t>
      </w:r>
    </w:p>
    <w:p>
      <w:r>
        <w:t>Die Beschwerde ist abzuweisen und die Verfügung des SEM zu bestätigen.</w:t>
      </w:r>
    </w:p>
    <w:p>
      <w:r>
        <w:rPr>
          <w:b/>
        </w:rPr>
        <w:t>E. 12</w:t>
      </w:r>
    </w:p>
    <w:p>
      <w:r>
        <w:t>Mit dem Entscheid in der Hauptsache sind die Gesuche um Erteilung der aufschiebenden Wirkung und um Verzicht auf die Erhebung eines Kostenvorschusses gegenstandslos geworden. Der am 3. Mai 2024 verfügte einstweilige Vollzugsstopp fällt mit dem vorliegenden Urteil dahin.</w:t>
      </w:r>
    </w:p>
    <w:p>
      <w:r>
        <w:rPr>
          <w:b/>
        </w:rPr>
        <w:t>E. 13</w:t>
      </w:r>
    </w:p>
    <w:p>
      <w:r>
        <w:t>Das Gesuch um Gewährung der unentgeltlichen Prozessführung ist abzuweisen, da die Beschwerde gemäss den vorstehenden Erwägungen als aussichtslos zu bezeichnen war. Daher fehlt es, unbesehen der finanziellen Verhältnisse der Beschwerdeführerin, an einer gesetzlichen Voraussetzung gemäss Art. 65 Abs. 1 VwVG. Bei diesem Ausgang des Verfahrens sind ihr die Kosten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