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F-2709/2021 vom 31. Mai 2022</w:t>
      </w:r>
    </w:p>
    <w:p>
      <w:r>
        <w:t>Bundesverwaltungsgericht, 2022-05-31, DE</w:t>
      </w:r>
    </w:p>
    <w:p>
      <w:r>
        <w:rPr>
          <w:b/>
        </w:rPr>
        <w:t xml:space="preserve">Quelle: </w:t>
      </w:r>
      <w:r>
        <w:t>https://mcp.opencaselaw.ch/entscheid/bvger_F-2709_2021</w:t>
      </w:r>
    </w:p>
    <w:p>
      <w:r>
        <w:t>FR: TAF F-2709/2021 du 31 mai 2022</w:t>
      </w:r>
    </w:p>
    <w:p>
      <w:r>
        <w:t>IT: TAF F-2709/2021 del 31 maggio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Die Vorinstanz hat die Ausschreibung des Beschwerdeführers zur Einreiseverweigerung im Schengener Informationssystem (SIS II) gelöscht. Das entsprechende Rechtsbegehren des Beschwerdeführers ist damit gegenstandslos geworden. Folglich erübrigt es sich, auf die formellen Rügen betreffend SIS-Ausschreibung einzugehen. Zu beurteilen bleibt das zweijährige Einreiseverbot (gültig ab 18. Mai 2021 bis 17. Mai 2023) für das Gebiet der Schweiz und des Fürstentums Liechtenstein.</w:t>
      </w:r>
    </w:p>
    <w:p>
      <w:r>
        <w:rPr>
          <w:b/>
        </w:rPr>
        <w:t>E. 4.1</w:t>
      </w:r>
    </w:p>
    <w:p>
      <w:r>
        <w:t>Der Beschwerdeführer rügt, die Vorinstanz habe das rechtliche Gehör verletzt, indem sie ihn nie ernsthaft angehört habe. So habe die Vorinstanz nicht gehört, dass er sich in Italien in einem Verfahren zwecks Erteilung einer Aufenthaltsbewilligung befinde und nur für einen Familienbesuch in die Schweiz eingereist sei. Zudem habe sie das Einreiseverbot lediglich mit seiner illegalen Einreise begründet und sich mit dem Zusatz begnügt, «[a]uch unter Berücksichtigung der Stellungnahme im Rahmen des rechtlichen Gehörs erweist sich die vorliegende Fernhaltemassnahme als verhältnismässig und gerechtfertigt.».</w:t>
      </w:r>
    </w:p>
    <w:p>
      <w:r>
        <w:rPr>
          <w:b/>
        </w:rPr>
        <w:t>E. 4.2</w:t>
      </w:r>
    </w:p>
    <w:p>
      <w:r>
        <w:t>Der Anspruch auf rechtliches Gehör nach Art. 29 Abs. 2 BV umfasst alle Befugnisse, die einer Partei einzuräumen sind, damit sie in einem Verfahren ihren Standpunkt wirksam zur Geltung bringen kann (BGE 144 II 427 E. 3.1). Der Beschwerdeführer rügt eine Verletzung des Rechts auf vorgängige Äusserung gemäss Art. 30 Abs. 1 VwVG und eine Verletzung der Begründungspflicht gemäss Art. 35 Abs. 1 VwVG).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w:t>
      </w:r>
    </w:p>
    <w:p>
      <w:r>
        <w:rPr>
          <w:b/>
        </w:rPr>
        <w:t>E. 4.2.1</w:t>
      </w:r>
    </w:p>
    <w:p>
      <w:r>
        <w:t>Anlässlich der Einvernahme vom 7. Mai 2021 wurden dem Beschwerdeführer die Wegweisung und das Einreiseverbot (Gesetzesgrundlage, Gegenstand, Grund) erläutert und ihm die Möglichkeit gegeben, sich dazu zu äussern. Es hätte am Beschwerdeführer gelegen, das Verfahren in Italien betreffend Aufenthaltsbewilligung und den Grund seiner Einreise in die Schweiz zu erwähnen. Es ist nicht Sache der Vorinstanz, auf das Geratewohl hin nach allfälligen Gründen, die gegen das Verhängen eines Einreiseverbots sprechen könnten, zu forschen. Der Beschwerdeführer hatte ausreichend Gelegenheit, sich zu der beabsichtigten Massnahme zu äussern. Der entsprechende Anspruch ist gewahrt.</w:t>
      </w:r>
    </w:p>
    <w:p>
      <w:r>
        <w:rPr>
          <w:b/>
        </w:rPr>
        <w:t>E. 4.2.2</w:t>
      </w:r>
    </w:p>
    <w:p>
      <w:r>
        <w:t>Die Vorinstanz hat das Einreiseverbot mit dem Verstoss gegen die Einreisevoraussetzungen des Ausländerrechts begründet und den einschlägigen Gesetzesartikel angeführt. Damit hat sie der Begründungspflicht Genüge getan.</w:t>
      </w:r>
    </w:p>
    <w:p>
      <w:r>
        <w:rPr>
          <w:b/>
        </w:rPr>
        <w:t>E. 4.3</w:t>
      </w:r>
    </w:p>
    <w:p>
      <w:r>
        <w:t>Es liegt demnach keine Verletzung des rechtlichen Gehörs vor, weshalb keine Veranlassung besteht, die angefochtene Verfügung aufzuheben und die Sache an die Vorinstanz zurückzuweisen. Das entsprechende Rechtsbegehren ist abzuweisen.</w:t>
      </w:r>
    </w:p>
    <w:p>
      <w:r>
        <w:rPr>
          <w:b/>
        </w:rPr>
        <w:t>E. 5</w:t>
      </w:r>
    </w:p>
    <w:p>
      <w:r>
        <w:t>Nach Art. 67 Abs. 2 Bst. a AIG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6.1</w:t>
      </w:r>
    </w:p>
    <w:p>
      <w:r>
        <w:t>Die Vorinstanz begründet das Einreiseverbot damit, der Beschwerdeführer sei ohne das benötigte Visum oder Aufenthaltstitel in die Schweiz eingereist. Er sei deshalb weggewiesen worden. Damit liege ein Verstoss gegen die Einreisevoraussetzungen des Ausländerrechts vor, womit eine ernsthafte Gefährdung der öffentlichen Sicherheit und Ordnung einhergehe; der Fernhaltegrund nach Art. 67 Abs. 2 Bst. a AIG sei erfüllt. Die Fernhaltemassnahme sei verhältnismässig.</w:t>
      </w:r>
    </w:p>
    <w:p>
      <w:r>
        <w:rPr>
          <w:b/>
        </w:rPr>
        <w:t>E. 6.2</w:t>
      </w:r>
    </w:p>
    <w:p>
      <w:r>
        <w:t>Der Beschwerdeführer macht geltend, bei Art. 67 Abs. 2 Bst. a AIG handle es sich um eine Ermessensbestimmung; die Anordnung eines Einreiseverbots sei nicht geboten. Die Vorinstanz berufe sich lediglich auf eine Gefährdung der öffentlichen Sicherheit und Ordnung und nicht auf einen Verstoss, weshalb davon auszugehen sei, dass künftige Ordnungsverstösse verhindert werden sollten. In diesem Fall sei ein Einreiseverbot jedoch nur gerechtfertigt, wenn eine ungünstige Prognose vorliege. Dies sei bei ihm nicht der Fall. Er habe seinen Lebensmittelpunkt in Italien. Er sei nicht mit der Absicht eines längeren Verbleibs in die Schweiz eingereist, sondern nur für einen kurzen Familienbesuch seiner Ehefrau und den drei gemeinsamen Kindern. Eine ernsthafte Gefährdung der öffentlichen Sicherheit und Ordnung sei daher nicht gegeben. Zudem verstosse das Einreiseverbot gegen das Willkürverbot, da die Vorinstanz die Voraussetzungen für dessen Anordnung ohne Gründe als gegeben betrachte, was jeglicher Realität entbehre.</w:t>
      </w:r>
    </w:p>
    <w:p>
      <w:r>
        <w:rPr>
          <w:b/>
        </w:rPr>
        <w:t>E. 7</w:t>
      </w:r>
    </w:p>
    <w:p>
      <w:r>
        <w:t>Der Beschwerdeführer ist ohne das benötigte Visum oder Aufenthaltstitel in die Schweiz eingereist. Er hat ausländerrechtliche Einreisevorschriften verletzt und damit gegen die öffentliche Sicherheit und Ordnung verstossen. Der Fernhaltegrund nach Art. 67 Abs. 2 Bst. a AIG ist somit gesetzt. Allfällige Unkenntnis oder Fehlinterpretation der Einreise- oder Aufenthaltsvorschriften hat er sich anrechnen zu lassen. Ihm obliegt es, sich über die bestehenden Rechte und Pflichten im Zusammenhang mit ausländerrechtlichen Vorschriften zu informieren (Urteil des BVGer F-6174/2020 vom 21. Juni 2021 E. 4). Im Übrigen hat die Vorinstanz das Einreiseverbot - entgegen der Meinung des Beschwerdeführers - ausdrücklich mit einem «Verstoss gegen die Einreisevoraussetzungen des Ausländerrechts» begründet.</w:t>
      </w:r>
    </w:p>
    <w:p>
      <w:r>
        <w:rPr>
          <w:b/>
        </w:rPr>
        <w:t>E. 8.1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8.2.1</w:t>
      </w:r>
    </w:p>
    <w:p>
      <w:r>
        <w:t>Der Verstoss des Beschwerdeführers gegen ausländerrechtliche Bestimmungen wirkt objektiv nicht leicht, da der Einhaltung zentraler ausländerrechtlicher Normen eine hohe Bedeutung zu kommt, geht es doch darum, eine funktionierende Rechtsordnung gewährleisten zu können. Entsprechend ist die ausländerrechtliche Ordnung durch eine konsequente Massnahmenpraxis zu schützen (BVGE 2014/20 E. 8.2; Urteil des BVGer F-1641/2019 vom 14. September 2020 E 4.1.1). Vorliegend besteht daher bereits aus generalpräventiven Gründen ein gewichtiges Interesse an einer zeitlich befristeten Fernhaltung des Beschwerdeführers. Das Einreisereiseverbot erscheint jedoch auch aus spezialpräventiven Gründen als angezeigt, um ihn zu ermahnen, bei einer allfälligen künftigen Wiedereinreise in den Schengen-Raum nach Ablauf des Einreiseverbots die geltenden ausländerrechtlichen Vorschriften einzuhalten. Diese Ermahnung ist umso wichtiger, als der Beschwerdeführer in der Vergangenheit wiederholt straffällig geworden ist und bereits gegen ausländerrechtliche Aufenthaltsbestimmungen verstossen hat. So kehrte er nach einem bewilligten Hafturlaub am 28. April 2013 nicht mehr in den Massnahmenvollzug zurück. Stattdessen tauchte er unter und hielt sich bis zu seiner Verhaftung am 3. Juli 2016 ohne gültigen Aufenthaltstitel und damit rechtswidrig in der Schweiz auf.</w:t>
      </w:r>
    </w:p>
    <w:p>
      <w:r>
        <w:rPr>
          <w:b/>
        </w:rPr>
        <w:t>E. 8.2.2</w:t>
      </w:r>
    </w:p>
    <w:p>
      <w:r>
        <w:t>Als privates Interesse führt der Beschwerdeführer an, seine Ehefrau und seine drei Kinder (Jg. [...], [...] und [...]) - gemäss seinem Suspendierungsgesuch vom 22. Oktober 2021 vier Kinder - lebten in der Schweiz. Vorab ist darauf hinzuweisen, dass allfällige Einschränkungen des Privat- und Familienlebens in erster Linie durch den Entzug seiner Aufenthaltsbewilligung begründet sind. Es stellt sich einzig die Frage, ob die durch das Einreiseverbot zusätzlich bewirkte Erschwernis vor Art. 8 Ziff. 1 EMRK standhält. Zu Beginn der Beziehung mit seiner jetzigen Ehefrau befand sich der Beschwerdeführer im Strafvollzug. Die Beziehungspflege war nur in sehr eingeschränktem Ausmass möglich. Nach seinem Untertauchen anlässlich des Hafturlaubs hielt er sich bis zu seiner Verhaftung rund drei Jahre später rechtswidrig an verschiedenen, unbekannten Aufenthaltsorten in der Schweiz auf. In wie weit er in dieser Zeit das Familienleben pflegen konnte, ist unklar. Nach seiner Verhaftung am 3. Juli 2016 wurde er weggewiesen und reiste danach nach Sri Lanka aus. Mittlerweile lebt er in Italien. Den Kontakt zur Ehefrau und zu den Kindern konnte der Beschwerdeführer in dieser Zeit nur in äusserst begrenztem Rahmen pflegen. Es ist nicht davon auszugehen, dass er in dieser Zeit eine emotional enge Beziehung zu den Kindern aufgebaut hat. Zudem kann er den Kontakt zu ihnen und der Ehefrau mittels moderner Kommunikationsmittel pflegen. Ferner kann das Einreiseverbot zur Wahrnehmung von Besuchen von Familienangehörigen nach einer gewissen Zeit auf begründetes Gesuch hin für eine kurze Zeitspanne suspendiert werden (Art. 67 Abs. 5 AIG). Eine Verletzung von Art. 8 EMRK liegt damit nicht vor. Die vorübergehende Einschränkung der Kontaktpflege zu seiner Ehefrau und den Kindern in der Schweiz hat der Beschwerdeführer selbst zu verantworten und in Kauf zu nehmen, zumal ihn die Eheschliessung und Geburt seiner Kinder nicht vom Delinquieren abhalten konnten.</w:t>
      </w:r>
    </w:p>
    <w:p>
      <w:r>
        <w:rPr>
          <w:b/>
        </w:rPr>
        <w:t>E. 8.3</w:t>
      </w:r>
    </w:p>
    <w:p>
      <w:r>
        <w:t>Zusammenfassend kann festgehalten werden, dass der Beschwerdeführer aufgrund seiner familiären Verbindung ein Interesse daran hat, ungehindert in die Schweiz einreisen zu können. Angesichts des Verstosses gegen die ausländerrechtlichen Einreise- und Aufenthaltsbestimmungen und seines bisherigen Verhaltens erweist sich das zweijährige Einreiseverbot indes sowohl im Grundsatz als auch hinsichtlich seiner Dauer als verhältnismässig. Die in diesem Zusammenhang erhobene Rüge der Verletzung des Willkürverbots durch die Vorinstanz ist folglich unbegründet.</w:t>
      </w:r>
    </w:p>
    <w:p>
      <w:r>
        <w:rPr>
          <w:b/>
        </w:rPr>
        <w:t>E. 9</w:t>
      </w:r>
    </w:p>
    <w:p>
      <w:r>
        <w:t>Aus den vorstehenden Erwägungen ergibt sich, dass die angefochtene Verfügung - soweit sie noch zu überprüfen war - im Lichte von Art. 49 VwVG nicht zu beanstanden ist. Die Beschwerde ist abzuweisen, soweit sie nicht gegenstandslos geworden ist.</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