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F-2708/2017 vom 5. Dezember 2019</w:t>
      </w:r>
    </w:p>
    <w:p>
      <w:r>
        <w:t>Bundesverwaltungsgericht, 2019-12-05, DE</w:t>
      </w:r>
    </w:p>
    <w:p>
      <w:r>
        <w:rPr>
          <w:b/>
        </w:rPr>
        <w:t xml:space="preserve">Quelle: </w:t>
      </w:r>
      <w:r>
        <w:t>https://mcp.opencaselaw.ch/entscheid/bvger_F-2708_2017</w:t>
      </w:r>
    </w:p>
    <w:p>
      <w:r>
        <w:t>FR: TAF F-2708/2017 du 5 décembre 2019</w:t>
      </w:r>
    </w:p>
    <w:p>
      <w:r>
        <w:t>IT: TAF F-2708/2017 del 5 dicembre 2019</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hat das Bundesgesetz über die Ausländerinnen und Ausländer vom 16. Dezember 2005 (AuG) eine Teilrevision und Namensänderung erfahren (Änderung vom 16. Dezember 2016, AS 2018 3171). Es heisst neu Bundesgesetz über die Ausländerinnen und Ausländer und über die Integration (AIG). Gleichzeitig sind die Änderungen vom 15. August 2018 der Verordnung über Zulassung, Aufenthalt und Erwerbstätigkeit vom 24. Oktober 2007 (VZAE, SR 142.201; vgl. AS 2018 3173) in Kraft getreten. Im Folgenden wird die neue Bezeichnung verwendet. Auf die Teilrevision wird nur insoweit eingegangen, als die einschlägigen Bestimmungen Änderungen erfahren haben.</w:t>
      </w:r>
    </w:p>
    <w:p>
      <w:r>
        <w:rPr>
          <w:b/>
        </w:rPr>
        <w:t>E. 4.1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verfügende Behörde ausnahmsweise von der Verfügung eines Einreiseverbots absehen oder ein Einreiseverbot endgültig oder vorübergehend aufheben (Art. 67 Abs. 5 AIG).</w:t>
      </w:r>
    </w:p>
    <w:p>
      <w:r>
        <w:rPr>
          <w:b/>
        </w:rPr>
        <w:t>E. 4.2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 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(vgl. BVGE 2017 VII/2 E. 4.4; Urteil des BVGer F-1152/2018 vom 24. September 2018 E. 4.2 m.H.).</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3809). Ein Verstoss gegen die öffentliche Sicherheit und Ordnung liegt unter anderem vor, wenn gesetzliche Vorschriften oder behördliche Verfügungen missachtet werden (Art. 77a Abs. 1 Bst. a VZAE, inhaltlich identisch mit Art. 80 Abs. 1 Bst. a VZAE in der bis zum 31. Dezember 2018 geltenden Fassung). Die Annahme einer Gefährdung der öffentlichen Sicherheit und Ordnung setzt konkrete Anhaltspunkte dafür voraus, dass der Aufenthalt der betroffenen Person in der Schweiz mit erheblicher Wahrscheinlichkeit zu einem Verstoss gegen die öffentliche Sicherheit und Ordnung führen wird (Art. 77a Abs. 2 VZAE; inhaltlich identisch mit Art. 80 Abs. 2 VZAE in der bis 31. Dezember 2018 geltenden Fassung).</w:t>
      </w:r>
    </w:p>
    <w:p>
      <w:r>
        <w:rPr>
          <w:b/>
        </w:rPr>
        <w:t>E. 4.4</w:t>
      </w:r>
    </w:p>
    <w:p>
      <w:r>
        <w:t>Eine schwerwiegende Gefahr für die öffentliche Sicherheit und Ordnung im Sinne von Art. 67 Abs. 3 zweiter Satz AIG setzt mehr voraus als eine einfache Gefährdung nach Art. 67 Abs. 2 Bst. a zweiter Halbsatz AIG.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Urteil des BGer 2C_270/2015 vom 6. August 2015 E. 4.2; BVGE 2014/20 E. 5.2; Urteil des BVGer F-6341/2018 vom 27. März 2019 E. 5.2 m.H.).</w:t>
      </w:r>
    </w:p>
    <w:p>
      <w:r>
        <w:rPr>
          <w:b/>
        </w:rPr>
        <w:t>E. 5</w:t>
      </w:r>
    </w:p>
    <w:p>
      <w:r>
        <w:t>Das deliktische Verhalten des Beschwerdeführers, das seit 2009 zu insgesamt acht strafrechtlichen Verurteilungen führte und zuletzt am 23. März 2017 mit einer Geldstrafe von 60 Tagessätzen sanktioniert wurde, erfüllt den Fernhaltgrund einer Verletzung der öffentlichen Sicherheit und Ordnung gemäss Art. 67 Abs. 2 Bst. a AIG. Nachfolgend ist zu prüfen, ob die Vorinstanz zu Recht darauf schloss, dass vom Beschwerdeführer eine schwerwiegende Gefahr für die öffentliche Sicherheit und Ordnung im Sinne von Art. 67 Abs. 3 zweiter Satz AIG ausgeht.</w:t>
      </w:r>
    </w:p>
    <w:p>
      <w:r>
        <w:rPr>
          <w:b/>
        </w:rPr>
        <w:t>E. 5.1</w:t>
      </w:r>
    </w:p>
    <w:p>
      <w:r>
        <w:t>Der Beschwerdeführer wendet dagegen ein, dass er nicht gegen besonders hochwertige Rechtsgüter (wie Leib und Leben) verstossen und sein letztes Delikt von gewisser Schwere (Einbruchdiebstahl) schon längere Zeit zurückliege (Dezember 2014). Es bestehe auch keine Rückfallgefahr, da sich seine Lebensumstände - seit er Vater eines Kindes geworden sei - wesentlich verändert hätten. Entsprechend habe auch das Bezirksgericht Hinwil in seinem Strafurteil vom 3. November 2016 festgestellt, dass sich seine Legalprognose seit früheren Entscheiden massiv verbessert habe. Er habe sich an die Wegweisungsverfügung vom 28. April 2016 gehalten, halte sich nun seit Ende Oktober 2016 in Italien auf, gehe dort einer geregelten Erwerbstätigkeit nach und sei straffrei geblieben.</w:t>
      </w:r>
    </w:p>
    <w:p>
      <w:r>
        <w:rPr>
          <w:b/>
        </w:rPr>
        <w:t>E. 5.2</w:t>
      </w:r>
    </w:p>
    <w:p>
      <w:r>
        <w:t>Der Beschwerdeführer wurde während seines Aufenthalts in der Schweiz acht Mal strafrechtlich verurteilt. Den Urteilen lagen zwar mehrheitlich Zuwiderhandlungen gegen ausländerrechtliche Normen (illegale Einreise, illegaler Aufenthalt) zugrunde, dreien von ihnen aber auch Vermögensdelikte, in je einem Fall zudem Hinderung einer Amtshandlung beziehungsweise Übertretung des BetmG. Von besonderem Gewicht ist dabei vor allem die Verurteilung durch das Bezirksgericht Frauenfeld vom 5. März 2014. Zu diesem Urteil liegt zwar keine schriftliche Begründung vor, die angeführten Straftatbestände lassen aber darauf schliessen, dass der Beschwerdeführer zum Nachteil einer Vielzahl von Geschädigten gewerbsmässig Einbruchdiebstähle beging. Gleichzeitig war dies nicht die letzte Verurteilung wegen eines Vermögensdelikts, eine weitere erfolgte mit dem Strafbefehl der Staatsanwaltschaft Winterthur/Unterland vom 26. Februar 2015. Die Urteile zeugen insgesamt von einer wiederholten Delinquenz bei teilweise zunehmender Schwere. Gleichzeitig ist festzustellen, dass der Beschwerdeführer sich von den gegen ihn verhängten strafrechtlichen Sanktionen nicht beeindrucken liess, delinquierte er doch mehrmals noch während einer ihm gewährten Probezeit. Damit zeigte er eine starke Gleichgültigkeit gegenüber der geltenden Rechtsordnung (vgl. auch Urteil F-6341/2018 E. 5.4).</w:t>
      </w:r>
    </w:p>
    <w:p>
      <w:r>
        <w:rPr>
          <w:b/>
        </w:rPr>
        <w:t>E. 5.3</w:t>
      </w:r>
    </w:p>
    <w:p>
      <w:r>
        <w:t>Aus dem Umstand, dass das Bezirksgericht Hinwil in dessen Urteil vom 3. November 2016 im Zusammenhang mit der Prüfung eines Widerrufs des bedingten Vollzugs einer Vorstrafe festhielt, die Legalprognose des Beschwerdeführers habe sich «seit den früheren Entscheiden massiv verbessert», kann der Beschwerdeführer nichts Besonderes für sich ableiten. Im Ausländerrecht kommt mit Blick auf das im Vordergrund stehende Interesse der öffentlichen Sicherheit und Ordnung ganz allgemein ein strengerer Beurteilungsmassstab zum Tragen als im Straf- und Massnahmenrecht (vgl. BGE 137 II 233 E. 5.2.2 m.H.; Urteil des BVGer F-733/2018 vom 3. April 2019 E. 6.5). Wohlverhalten während einer laufenden Probezeit ist im Administrativverfahren nur untergeordnete Bedeutung beizumessen (Urteil des BVGer F-3450/2016 vom 17. September 2018 E. 6.6.7). Der Beschwerdeführer hat sich aber - wie bereits erwähnt - nicht einmal während den ihm auferlegten Probezeiten immer regelkonform verhalten. So musste die ursprünglich mit Urteil des Bezirksgerichts Frauenfeld am 5. März 2014 auf vier Jahre angesetzte Probezeit am 26. Februar 2015 um ein Jahr verlängert werden. Kommt hinzu, dass das Urteil des Bezirksgerichts Hinwil vom 3. November 2016 nicht die letzte gegen den Beschwerdeführer ergangene strafrechtliche Sanktion war; dieser vielmehr mit dem Strafbefehl der Staatsanwaltschaft See / Oberland vom 23. März 2017 nochmals eine Verurteilung erwirkte und erst diese von der Vorinstanz zum Anlass genommen wurde, eine Fernhaltemassnahme in Erwägung zu ziehen. Anlässlich seiner polizeilichen Befragung vom 22. März 2017 hatte der Beschwerdeführer im Übrigen eingeräumt, bewusst gegen ausländerrechtliche Vorschriften verstossen zu haben (ZH-act. 57).</w:t>
      </w:r>
    </w:p>
    <w:p>
      <w:r>
        <w:rPr>
          <w:b/>
        </w:rPr>
        <w:t>E. 5.4</w:t>
      </w:r>
    </w:p>
    <w:p>
      <w:r>
        <w:t>Angesichts der dargelegten Umstände besteht für das Bundesverwaltungsgericht kein Zweifel daran, dass vom Beschwerdeführer nicht nur eine Gefahr für die öffentliche Sicherheit und Ordnung ausgeht, sondern dass diese angesichts der oben dargelegten Umstände im Sinne von Art. 67 Abs. 3 zweiter Satz AIG qualifiziert ist.</w:t>
      </w:r>
    </w:p>
    <w:p>
      <w:r>
        <w:rPr>
          <w:b/>
        </w:rPr>
        <w:t>E. 6.1</w:t>
      </w:r>
    </w:p>
    <w:p>
      <w:r>
        <w:t>Zu prüfen bleibt, ob das von der Vorinstanz verhängte achtjährige Einreiseverbot in richtiger Ausübung des Ermessens ergangen und ob dessen Dauer angemessen ist. Der Grundsatz der Verhältnismässigkeit steht dabei im Vordergrund. Unter diesem Gesichtspunkt ist eine wertende Abwägung vorzunehmen zwischen dem öffentlichen Interesse an der Fernhaltemassnahme einerseits und den dadurch beeinträchtigten privaten Interessen des Betroffenen andererseits (BVGE 2016/33 E. 9.2 m.H.). Die Stellung der verletzten oder gefährdeten Rechtsgüter, die Besonderheiten des ordnungswidrigen Verhaltens und die persönlichen Verhältnisse des Verfügungsbelasteten bilden dabei den Ausgangspunkt der Überlegungen (BVGE 2014/20 E. 8.1 m.H.; vgl. ferner Häfelin/Müller/Uhlmann, Allgemeines Verwaltungsrecht, 7. Aufl. 2016, Rz. 555 ff.).</w:t>
      </w:r>
    </w:p>
    <w:p>
      <w:r>
        <w:rPr>
          <w:b/>
        </w:rPr>
        <w:t>E. 6.2</w:t>
      </w:r>
    </w:p>
    <w:p>
      <w:r>
        <w:t>Vom Beschwerdeführer geht eine schwerwiegende Gefahr für die öffentliche Sicherheit und Ordnung aus. Darauf wurde unter dem Gesichtspunkt der Eingriffsvoraussetzungen eingegangen, sodass an dieser Stelle auf Wiederholungen verzichtet werden kann. Dass das sich daraus ergebende öffentliche Interesse an einer mehrjährigen Fernhaltung aufgrund wesentlich veränderter Lebensumstände und einer seit März 2017 bestehenden Straflosigkeit inzwischen gänzlich weggefallen sei, kann nicht angenommen werden. Der seit der letzten Delinquenz verstrichene Zeitraum ist - nicht zuletzt vor dem Hintergrund des vorangegangenen siebenjährigen Zeitraums deliktischer Tätigkeit - zu kurz, als dass sich an der Risikoeinschätzung etwas zu ändern vermag und eine weitere Gefährdung ausgeschlossen werden könnte. Andererseits ist dem Beschwerdeführer insofern beizupflichten, dass sich seine Delinquenz nicht gegen besonders hochrangige Rechtsgüter richtete. Es besteht daher zwar nach wie vor ein erhebliches öffentliches Interesse an einer Fernhaltung. Dieses ist jedoch nicht so dominant, dass sich ihm jedes private Interesse gänzlich unterordnen müsste.</w:t>
      </w:r>
    </w:p>
    <w:p>
      <w:r>
        <w:rPr>
          <w:b/>
        </w:rPr>
        <w:t>E. 6.3</w:t>
      </w:r>
    </w:p>
    <w:p>
      <w:r>
        <w:t>Dem öffentlichen Interesse an seiner Fernhaltung sind die privaten Interessen des Beschwerdeführers gegenüberzustellen.</w:t>
      </w:r>
    </w:p>
    <w:p>
      <w:r>
        <w:rPr>
          <w:b/>
        </w:rPr>
        <w:t>E. 6.3.1</w:t>
      </w:r>
    </w:p>
    <w:p>
      <w:r>
        <w:t>Der Beschwerdeführer macht geltend, dass er die Beziehung zu seiner Ehefrau und seinem Kind, welche in der Schweiz wohnhaft sind, pflegen möchte. Er beruft sich dabei auf die Garantie des Schutzes des Familienlebens gemäss Art. 8 EMRK und Art. 13 Abs. 1 BV in Verbindung mit Art. 3 des Übereinkommens vom 20. November 1989 über die Rechte des Kindes (Kinderrechtskonvention, KRK, SR 0.107). In diesem Zusammenhang ist zunächst darauf hinzuweisen, dass es vorliegend nicht um ein Aufenthaltsrecht in der Schweiz geht. Die vom Beschwerdeführer beanstandeten Beeinträchtigungen des Familien- und Privatlebens sind daher vorliegend nur soweit rechtserheblich, als sie unmittelbar auf das Einreiseverbot zurückzuführen sind. Entscheidend ist demnach, ob die durch das Einreiseverbot zusätzlich bewirkten Beeinträchtigungen vor dem Schutz des Familienlebens von Art. 8 EMRK und Art. 13 Abs. 1 BV standhalten. Dabei ist dem Kindeswohl im Sinne von Art. 3 KRK Rechnung zu tragen. Aus der KRK ergibt sich jedoch kein eigenständiger Anspruch auf Einreise (vgl. BGE 143 I 21 E. 5.5; Urteil des BGer 2C_846/2018 vom 26. März 2019 E. 7.1; BVGE 2014/20 E. 8.3.6; Urteil des BVGer F-3691/2017 vom 6. August 2018 E. 9.7).</w:t>
      </w:r>
    </w:p>
    <w:p>
      <w:r>
        <w:rPr>
          <w:b/>
        </w:rPr>
        <w:t>E. 6.3.2</w:t>
      </w:r>
    </w:p>
    <w:p>
      <w:r>
        <w:t>Der Beschwerdeführer bringt vor, dass seine Ehefrau in der Schweiz zwei voreheliche Kinder habe, welche ihr nicht nach Italien folgen könnten und welche sie auch nicht in der Schweiz zurücklassen könne. Gerade die ersten Lebensjahre eines Kindes seien für die Entwicklung einer gesunden Vater-Kind-Beziehung besonders wichtig und daher sei seine physische Präsenz in der Schweiz notwendig.</w:t>
      </w:r>
    </w:p>
    <w:p>
      <w:r>
        <w:rPr>
          <w:b/>
        </w:rPr>
        <w:t>E. 6.3.3</w:t>
      </w:r>
    </w:p>
    <w:p>
      <w:r>
        <w:t>Aus den Akten sind keine Anhaltspunkte ersichtlich, wonach ein Einreiseverbot das Familienleben derart beeinträchtigt, dass eine Verletzung von Art. 8 EMRK und Art. 13 Abs. 1 BV resultiert. Der Beschwerdeführer wurde nach Geburt seines Kindes und seiner Heirat straffällig und nahm damit die absehbaren Konsequenzen für sein Familienleben in Kauf (vgl. BVGE 2014/20 E. 5.5). Es war beziehungsweise ist ihm während der Dauer des Einreiseverbots möglich, den Kontakt zu seiner in der Schweiz lebenden Familie aufrechtzuerhalten; sei es mittels verschiedenster Kommunikationsmittel oder durch Besuche seiner Familie in Italien.</w:t>
      </w:r>
    </w:p>
    <w:p>
      <w:r>
        <w:rPr>
          <w:b/>
        </w:rPr>
        <w:t>E. 6.4</w:t>
      </w:r>
    </w:p>
    <w:p>
      <w:r>
        <w:t>Es kann jedoch nicht verkannt werden, dass das Einreiseverbot das Familienleben des Beschwerdeführers zusätzlich erschwert. Es beeinträchtigt sein Interesse an einem von staatlichen Eingriffen ungestörten Familienleben insoweit, als er für Einreisen in die Schweiz eine Suspension des Einreiseverbots einholen muss (Art. 67 Abs. 5 AIG). Die Vorinstanz hatte ihm eine solche mit Verfügung vom 9. November 2018 bereits für 14 Tage bewilligt. Praxisgemäss werden Suspensionen aber nur für eine kurze und klar begrenzte Zeit gewährt (vgl. Urteil des BVGer F-1021/2018 vom 17. August 2018 E. 8.3.2). Dies muss der Beschwerdeführer grundsätzlich hinnehmen, es ist jedoch in der Interessenabwägung zu berücksichtigen (vgl. Urteil des BVGer F-1768/2018 vom 15. Oktober 2018 E. 11).</w:t>
      </w:r>
    </w:p>
    <w:p>
      <w:r>
        <w:rPr>
          <w:b/>
        </w:rPr>
        <w:t>E. 6.5</w:t>
      </w:r>
    </w:p>
    <w:p>
      <w:r>
        <w:t>Das Einreiseverbot ist demnach dem Grundsatz nach zu bestätigen. Hinsichtlich seiner Dauer erscheint es aber in Anbetracht des zu relativierenden öffentlichen Interesses (vgl. E. 6.2) sowie der nicht unerheblichen persönlichen Interessen des Beschwerdeführers (vgl. E. 6.3 f.) als unverhältnismässig lang. Es ist auf sechs Jahre zu befristen, womit den auf dem Spiel stehenden öffentlichen und privaten Interessen hinreichend Rechnung getragen wird.</w:t>
      </w:r>
    </w:p>
    <w:p>
      <w:r>
        <w:rPr>
          <w:b/>
        </w:rPr>
        <w:t>E. 7</w:t>
      </w:r>
    </w:p>
    <w:p>
      <w:r>
        <w:t>Aus den vorstehenden Erwägungen ergibt sich, dass die angefochtene Verfügung Bundesrecht verletzt (Art. 49 VwVG). Die Beschwerde ist daher, soweit sie durch die Löschung der SIS-Ausschreibung nicht gegenstandslos geworden ist, teilweise gutzuheissen und die Dauer des angefochtenen Einreiseverbots auf sechs Jahre bis zum 5. April 2023 zu begrenzen.</w:t>
      </w:r>
    </w:p>
    <w:p>
      <w:r>
        <w:rPr>
          <w:b/>
        </w:rPr>
        <w:t>E. 8</w:t>
      </w:r>
    </w:p>
    <w:p>
      <w:r>
        <w:t>Bei diesem Ausgang des Verfahrens, einem teilweisen Obsiegen des Beschwerdeführers, sind dem Beschwerdeführer in Anwendung von Art. 63 Abs. 1 VwVG und Art. 1 ff. des Reglements vom 21. Februar 2008 über die Kosten und Entschädigungen vor dem Bundesverwaltungsgericht (VGKE, SR 173.320.2) reduzierte Verfahrenskosten im Betrag von Fr. 700.- aufzuerlegen. Gleichzeitig ist ihm zu Lasten der Vorinstanz eine gekürzte Parteientschädigung zuzusprechen (Art. 64 Abs. 1 und 2 VwVG; Art. 7 Abs. 2 VGKE). Die Entschädigung ist in Berücksichtigung des notwendigen und anrechenbaren Aufwands sowie der Praxis in vergleichbaren Fällen auf 600.- festzusetzen (vgl. Art. 64 Abs. 1 VwVG i.V.m. Art. 8 ff. VGKE, Art. 14 Abs. 2 VGKE).</w:t>
      </w:r>
    </w:p>
    <w:p>
      <w:r>
        <w:rPr>
          <w:b/>
        </w:rPr>
        <w:t>E. 9</w:t>
      </w:r>
    </w:p>
    <w:p>
      <w:r>
        <w:t>Das Bundesverwaltungsgericht entscheidet in der vorliegenden Streitsache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