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F-26/2021 vom 17. April 2023</w:t>
      </w:r>
    </w:p>
    <w:p>
      <w:r>
        <w:t>Bundesverwaltungsgericht, 2023-04-17, IT</w:t>
      </w:r>
    </w:p>
    <w:p>
      <w:r>
        <w:rPr>
          <w:b/>
        </w:rPr>
        <w:t xml:space="preserve">Quelle: </w:t>
      </w:r>
      <w:r>
        <w:t>https://mcp.opencaselaw.ch/entscheid/bvger_F-26_2021</w:t>
      </w:r>
    </w:p>
    <w:p>
      <w:r>
        <w:t>FR: TAF F-26/2021 du 17 avril 2023</w:t>
      </w:r>
    </w:p>
    <w:p>
      <w:r>
        <w:t>IT: TAF F-26/2021 del 17 aprile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7 luglio 2020,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17 novembre 2020, pronunciante un divieto d'entrata in Svizzera e nel Liechtenstein di cinque anni (17.11.2020 - 16.11.2025), di cui il ricorrente chiede l'annullamento.</w:t>
      </w:r>
    </w:p>
    <w:p>
      <w:r>
        <w:rPr>
          <w:b/>
        </w:rPr>
        <w:t>E. 4</w:t>
      </w:r>
    </w:p>
    <w:p>
      <w:r>
        <w:t>L'ALC è applicabile ratione temporis, ratione personae e ratione materiae alla fattispecie, nella misura in cui il ricorrente, come cittadino italiano, gode dal 1° giugno 2002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cinque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 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w:t>
      </w:r>
    </w:p>
    <w:p>
      <w:r>
        <w:rPr>
          <w:b/>
        </w:rPr>
        <w:t>E. 6.5</w:t>
      </w:r>
    </w:p>
    <w:p>
      <w:r>
        <w:t>È ancora utile sottolineare che, in linea di principio, la motivazione di un giudizio penale non vincola l'autorità amministrativa. Al contrario, per garantire l'unità della giurisprudenza ed evitare, nel limite del possibile, decisioni contraddittorie, l'autorità amministrativa non deve, senza necessità, scostarsi dalle risultanze fattuali del procedimento penale. Ciò posto, il diritto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irreprensibile, non permettono di escludere, di per sé, che non rappresenti più un pericolo per l'ordine e la sicurezza pubblici. In questo senso, anche senza disporre di un giudizio penale, sia per la mancata apertura del relativo procedimento,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7</w:t>
      </w:r>
    </w:p>
    <w:p>
      <w:r>
        <w:t>In prosieguo importa stabilire se le condizioni per emettere un divieto d'entrata in sé (minaccia almeno di una certa gravità) fossero adempiute il 17 novembre 2020 (cfr. le sentenze del Tribunale federale 2C_66/2018 del 7 maggio 2018 consid. 5.3.1 e 2C_784/2014 del 24 aprile 2015 consid. 3.2 in fine); nell'affermativa, bisognerà precisare l'intensità della gravità della minaccia (minaccia solo di una certa gravità).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7.1</w:t>
      </w:r>
    </w:p>
    <w:p>
      <w:r>
        <w:t>Il ricorrente è stato condannato in Italia nel 2005, a una multa e a sei mesi di reclusione (sostituita con una multa), per detenzione illegale di munizioni, violazione delle norme su controllo delle armi, delle munizioni e degli esplosivi, omessa denuncia di armi da sparo e munizioni. Nel 2013 è stato condannato dal Ministero pubblico del Canton B.______, ad una pena pecuniaria di 80 aliquote giornaliere, sospesa per un periodo di prova di due anni per incitazione all'entrata, alla partenza o al soggiorno illegale e per l'impiego di stranieri sprovvisti di permesso. In più il 10 gennaio 2017 il ricorrente è stato condannato dal Tribunale di appello di Milano ad una pena di reclusione di 5 anni e 11 mesi per reati concernente essenzialmente il patrimonio (associazione per delinquere, emissione di fatture o altri documenti per operazioni inesistenti, occultamento o distruzione di documenti contabili, falsità ideologica in atto pubblico, violazione delle norme sulla disciplina dell'IVA, omessa dichiarazione annuale d'imposta, contraffazione delle impronte di una pubblica autentificazione e dichiarazione fraudolenta mediante uso di fatture o altri documenti per operazioni inesistenti; accessoriamente alla reclusione). Alla luce di queste circostanze, e nonostante sembri che nel frattempo il ricorrente si sia astenuto da commettere ulteriori atti penalmente reprensibili, il Tribunale ritiene che il rischio di recidiva non possa essere escluso. Il fatto che egli abbia ripetutamente perpetrato delitti non può condurre ad una diversa valutazione, sebbene siano trascorsi sei anni dall'ultima condanna. Ne discende che la minaccia per l'ordine e la sicurezza pubblici rappresentata dall'insorgente deve essere ritenuta attuale, ragione per cui è giustificata l'emanazione di una misura di allontanamento dal territorio elvetico (cfr. sentenza del TAF F-1472/2016 del 8 dicembre 2017 consid 7.3.)</w:t>
      </w:r>
    </w:p>
    <w:p>
      <w:r>
        <w:rPr>
          <w:b/>
        </w:rPr>
        <w:t>E. 7.2</w:t>
      </w:r>
    </w:p>
    <w:p>
      <w:r>
        <w:t>Di conseguenza, la pronuncia di un divieto d'entrata, il 17 novembre 2020, non oltrepassante i cinque anni, era giustificata (cfr. consid. 6.2, 6.3 e 6.4).</w:t>
      </w:r>
    </w:p>
    <w:p>
      <w:r>
        <w:rPr>
          <w:b/>
        </w:rPr>
        <w:t>E. 8</w:t>
      </w:r>
    </w:p>
    <w:p>
      <w:r>
        <w:t>Si tratta ora di verificare se la durata di cinque anni del divieto d'entrata fosse anche proporzionale, e ciò in funzione del complesso delle circostanze del caso, nel quadro del diritto del ricorrente alla libera circolazione garantito dall'ALC, nonché, se del caso, del suo diritto al rispetto della sua vita privata e familiare secondo l'art. 8 § 1 della Convenzione europea dei diritti dell'uomo (CEDU, RS 0.101).</w:t>
      </w:r>
    </w:p>
    <w:p>
      <w:r>
        <w:rPr>
          <w:b/>
        </w:rPr>
        <w:t>E. 8.1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A proposito dell'art. 8 § 1 CEDU bisogna precisare che, benché non garantisca il diritto di entrata e di soggiorno in Svizzera (cfr. DTF 140 I 145 consid. 3.1 e 139 I 330 consid. 2.1 con i rinvii), esso estende la sua protezione, sotto il profilo del diritto al rispetto della vita privata, anche alle relazioni sociali sviluppate nell'ambito di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par.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par. 2 CEDU permette un'ingerenza statale nell'esercizio del diritto al rispetto della vita privata e della vita familiare, se tale ingerenza è prevista dalla legge ed è necessaria, in particolare, alla sicurezza pubblica e alla prevenzione dei reati in una società democratica. Nondimeno, l'art. 8 §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8.3</w:t>
      </w:r>
    </w:p>
    <w:p>
      <w:r>
        <w:t>In concreto, conviene subito rilevare che il ricorrente non può prevalersi della protezione garantita dall'art. 8 par. 1 CEDU, nella misura in cui non dimostra di avere una vita privata e una vita familiare in Svizzera nel senso inteso da questa norma convenzionale. Ora come già stabilito al consid. 7.1, a causa delle molteplici e frequenti infrazioni penali commesse sia in Italia che in Svizzera, il ricorrente continua senz'altro a rappresentare una minaccia di una certa gravita per l'ordine e la sicurezza pubblici. Il Tribunale osserva nondimeno che in ossequio al principio di proporzionalità, si giustifica di tenere in considerazione il fatto che l'ultima condanna penale risale al 10 gennaio 2017 e che dal allora egli sembra essersi astenuto dal commettere altri reati in Svizzera ed in patria. Come interesse privato, il ricorrente fa valere il svolgimento del suo attuale lavoro (in Italia) presso la D.______ anche sul territorio svizzero. La ditta ha una sede in Svizzera con la quale gli è stato chiesto di avere frequenti contatti, cosi come gli è stato chiesto di curare i rapporti con la clientela svizzera. Visto questo, una durata di cinque anni, trattandosi della misura massima concepibile come regola (cfr. consid. 6.2 sopra), non rispecchia le esigenze del principio di proporzionalità. Occorre pertanto ridurre la durata del divieto d'entrata pronunciato dalla SEM il 17 novembre 2020 a tre anni, ovvero fino al 18 novembre 2023. Infatti, tenendo conto delle peculiarità del caso, come sopra esposte, si può partire dal presupposto che, a scadenza del periodo di tre anni, la minaccia, non sarà più che potenziale. D'altra parte, questa soluzione si inserisce nel solco della giurisprudenza di questo Tribunale (cfr. le sentenze TAF F-218/2019 del 10 dicembre 2020 E. 8.3; F-3586/2019 del 12 aprile 2021 consid. 8.4).</w:t>
      </w:r>
    </w:p>
    <w:p>
      <w:r>
        <w:rPr>
          <w:b/>
        </w:rPr>
        <w:t>E. 8.4</w:t>
      </w:r>
    </w:p>
    <w:p>
      <w:r>
        <w:t>Sulla scorta di tutto quanto precede, la ponderazione dell'interesse pubblico della Svizzera a tenere lontano dal suo territorio il ricorrente e l'interesse privato di quest'ultimo ad usufruire, in particolare, della libera circolazione secondo l'ALC, essenzialmente facendo uso del suo diritto d'ingresso in Svizzera (cfr. art. 1 § 1 allegato I ALC), non permette di considerare che una durata del divieto d'entrata di cinque anni sia proporzionata: una durata di tre anni appare invece più consona a garantire gli interessi d'ordine e di sicurezza pubblici svizzeri senza incidere in misura eccessiva sugli interessi privati del ricorrente.</w:t>
      </w:r>
    </w:p>
    <w:p>
      <w:r>
        <w:rPr>
          <w:b/>
        </w:rPr>
        <w:t>E. 9</w:t>
      </w:r>
    </w:p>
    <w:p>
      <w:r>
        <w:t>In conclusione, pronunciando un divieto d'entrata di cinque anni, la SEM ha violato l'art. 67 cpv. 3 LStrI e il principio di proporzionalità nell'esercizio del suo potere d'apprezzamento (art. 49 lett. a PA). Stando così le cose, in accordo con le considerazioni sopraesposte, in particolare per quanto riguarda l'interesse privato del ricorrente a poter lavorare sul territorio svizzero per motivi economici, il ricorso va parzialmente accolto e la decisione impugnata riformata, nel senso che la durata del divieto d'entrata è ridotta a tre anni, per cui lo stesso è valido dal 17 novembre 2020 al 18 novembre 2023.</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fissazione della durata del divieto d'entrata (conclusione subordinata), è giusto porre a suo carico, a titolo di spese processuali, fr. 600.- da prelevare sull'anticipo di fr. 1'200.- da lui già versato. Di conseguenza, fr. 600.- saranno restituiti al ricorrente una volta che la presente sentenza sarà cresciuta in giudicato.</w:t>
      </w:r>
    </w:p>
    <w:p>
      <w:r>
        <w:rPr>
          <w:b/>
        </w:rPr>
        <w:t>E. 10.2</w:t>
      </w:r>
    </w:p>
    <w:p>
      <w:r>
        <w:t>In relazione alle spese ripetibili, considerato che il ricorso è parzialmente ammesso, il ricorrente, che è patrocinato da una legale, ha diritto a un'indennità, ridotta in proporzione,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nonché degli scritti successivi, è appropriato attribuire al ricorrente un'indennità ridotta per spese ripetibili di fr. 1'200.-.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