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F-269/2020 vom 18. März 2020</w:t>
      </w:r>
    </w:p>
    <w:p>
      <w:r>
        <w:t>Bundesverwaltungsgericht, 2020-03-18, DE</w:t>
      </w:r>
    </w:p>
    <w:p>
      <w:r>
        <w:rPr>
          <w:b/>
        </w:rPr>
        <w:t xml:space="preserve">Quelle: </w:t>
      </w:r>
      <w:r>
        <w:t>https://mcp.opencaselaw.ch/entscheid/bvger_F-269_2020</w:t>
      </w:r>
    </w:p>
    <w:p>
      <w:r>
        <w:t>FR: TAF F-269/2020 du 18 mars 2020</w:t>
      </w:r>
    </w:p>
    <w:p>
      <w:r>
        <w:t>IT: TAF F-269/2020 del 18 marzo 2020</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Die Beschwerdeführenden haben am vorangegangenen Einspracheverfahren teilgenommen und sind als Gastgeber der Gesuchstellerin durch die angefochtene Verfügung besonders berührt. Obwohl der anberaumte Besuchszeitraum inzwischen abgelaufen ist, muss auf ein fortbestehendes Rechtsschutzinteresse geschlossen werden. Dies belegt allein schon die Einreichung des Rechtsmittels. Die Beschwerdeführenden sind daher zur Erhebung des Rechtsmittels legitimiert (Art. 48 Abs. 1 VwVG). Auf die im Übrigen frist- und formgerecht eingereichte Beschwerde ist daher einzutreten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3.1</w:t>
      </w:r>
    </w:p>
    <w:p>
      <w:r>
        <w:t>Der angefochtenen Verfügung liegt das Gesuch einer türkischen (und nicht kosovarischen) Staatsangehörigen um Erteilung eines Visums zu Besuchszwecken für die Schweiz zugrunde. Die Vorinstanz ist in ihrer Verfügung vom 6. Januar 2020 im eingangs aufgeführten Betreff zu Unrecht davon ausgegangen, die Gesuchstellerin sei kosovarischer Herkunft, wobei allerdings davon auszugehen ist, dass es sich dabei um einen Verschrieb handelt und ihr dadurch kein Rechtsnachteil erwachsen ist. Die Beschwerdeführenden haben in ihrer Beschwerdeeingabe diesen Umstand denn auch nicht gerügt.</w:t>
      </w:r>
    </w:p>
    <w:p>
      <w:r>
        <w:rPr>
          <w:b/>
        </w:rPr>
        <w:t>E. 3.2</w:t>
      </w:r>
    </w:p>
    <w:p>
      <w:r>
        <w:t>Da sich die Gesuchstellerin nicht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Das AIG und seine Ausführungsbestimmungen gelangen nur insoweit zur Anwendung, als die Schengen-Assoziierungsabkommen keine abweichenden Bestimmungen enthalten (vgl. Art. 2 Abs. 2-5 AIG).</w:t>
      </w:r>
    </w:p>
    <w:p>
      <w:r>
        <w:rPr>
          <w:b/>
        </w:rPr>
        <w:t>E. 3.3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Visumerteilung vermittelt auch das Schengen-Recht nicht (vgl. BVGE 2014/1 E. 4.1.5).</w:t>
      </w:r>
    </w:p>
    <w:p>
      <w:r>
        <w:rPr>
          <w:b/>
        </w:rPr>
        <w:t>E. 3.4</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der Türkei stammenden Gesuchstellerin - erforderlich ist (vgl. Anhang I zur Verordnung (EU) 2018/1806, ABl. L 303/39 vom 28.11.2018; zum vollständigen Quellennachweis vgl. Fussnote zu Art. 8 Abs. 1 VEV).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Caroni et al., Migrationsrecht, 4. Aufl. 2018, S. 141 ff.).</w:t>
      </w:r>
    </w:p>
    <w:p>
      <w:r>
        <w:rPr>
          <w:b/>
        </w:rPr>
        <w:t>E. 3.5</w:t>
      </w:r>
    </w:p>
    <w:p>
      <w:r>
        <w:t>Eine Gefahr für die öffentliche Ordnung im Sinne von Art. 6 Abs. 1 Bst. e SGK ist auch dann anzunehmen, wenn die drittstaatsangehörige Person nicht bereit ist, das Hoheitsgebiet des Schengen-Raums fristgerecht wieder zu verlassen (vgl. Egli/Meyer, in: Caroni/Gächter/Thurnherr [Hrsg.], Stämpflis Handkommentar zum AuG; 2010, Art. 5 N 33).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5.2).</w:t>
      </w:r>
    </w:p>
    <w:p>
      <w:r>
        <w:rPr>
          <w:b/>
        </w:rPr>
        <w:t>E. 3.6</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3 Abs. 4 und Art. 7 VEV, Art. 25 Abs. 1 Bst. a Visakodex; ebenso Art. 6 Abs. 5 Bst. c SGK).</w:t>
      </w:r>
    </w:p>
    <w:p>
      <w:r>
        <w:rPr>
          <w:b/>
        </w:rPr>
        <w:t>E. 4</w:t>
      </w:r>
    </w:p>
    <w:p>
      <w:r>
        <w:t>Die Vorinstanz begründet vorliegend die Abweisung der Einsprache im Wesentlichen mit der nicht gesicherten Wiederausreise der Gesuchstellerin.</w:t>
      </w:r>
    </w:p>
    <w:p>
      <w:r>
        <w:rPr>
          <w:b/>
        </w:rPr>
        <w:t>E. 4.1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4.2</w:t>
      </w:r>
    </w:p>
    <w:p>
      <w:r>
        <w:t>Die Türkei stürzte im Sommer 2018, ausgelöst durch den Kurszerfall der türkischen Lira, in eine schwere Wirtschaftskrise. Rund ein Jahr später verzeichnet die Wirtschaft zwar wieder ein leichtes Wachstum, trotzdem ist die Krise noch nicht überwunden. Die Wirtschaft leidet unter anderem unter der zunehmenden Auslandsverschuldung sowie den - verglichen mit den inländischen Ersparnissen - zu hohen Gesamtinvestitionen. Die Arbeitslosigkeit bleibt trotz eines leichten Anstiegs der Beschäftigungsquote und der Anzahl Arbeitsplätze ein gravierendes Problem. Die durchschnittliche Arbeitslosenrate lag im Jahr 2018 bei knapp über 10% (vgl. zum Ganzen Organisation for Economic Co-Operation and Development (OECD), Economic Surveys Turkey, Juli 2018; NZZ Online, Türkei: Das Ende der Rezession ist nicht das Ende der Krise, 3. Dezember 2019; jeweils abgerufen im März 2020).</w:t>
      </w:r>
    </w:p>
    <w:p>
      <w:r>
        <w:rPr>
          <w:b/>
        </w:rPr>
        <w:t>E. 4.3</w:t>
      </w:r>
    </w:p>
    <w:p>
      <w:r>
        <w:t>Weiter bleibt die innenpolitische Lage in der Türkei angespannt. Mit der Aufhebung des seit dem Putschversuch vom Juli 2016 anhaltenden Notstands wurden die damit verbundenen Einschränkungen und Sonderregelungen im Juli 2018 teilweise in permanentes Recht überführt. Es ist weiterhin von einem erhöhten Risiko der Festnahme oder der Verhängung einer Ausreisesperre auszugehen. Seit Mitte 2015 ist es wiederholt zu terroristischen Anschlägen gekommen. Es ist keinesfalls auszuschliessen, dass terroristische Gruppierungen vor dem Hintergrund türkischer Militäraktionen in Syrien weiterhin versuchen werden, Anschläge auszuüben (vgl. zum Ganzen «www.auswaertiges-amt.de» &gt; Aussen- und Europapolitik &gt; Länder &gt; Türkei &gt; Reise- und Sicherheitshinweise, Stand: 6. März 2020; «www.eda.admin.ch» &gt; Reisehinweise &amp; Vertretungen &gt; Länderauswahl &gt; Türkei &gt; Reisehinweise für die Türkei, publiziert am 2. März 2020, abgerufen im März 2020).</w:t>
      </w:r>
    </w:p>
    <w:p>
      <w:r>
        <w:rPr>
          <w:b/>
        </w:rPr>
        <w:t>E. 4.4</w:t>
      </w:r>
    </w:p>
    <w:p>
      <w:r>
        <w:t>Vor diesem Hintergrund und erst recht unter Berücksichtigung der aktuell durch das Corona-Virus verursachten Krisensituation in einer Vielzahl von Staaten (u.a. Europa und Türkei) ist nicht zu beanstanden, dass die Vorinstanz das Risiko einer nicht fristgerechten Wiederausreise von Besuchern aus der Türkei grundsätzlich als hoch einstuft.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ebenfalls die weiteren Umstände zu würdigen.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4.5</w:t>
      </w:r>
    </w:p>
    <w:p>
      <w:r>
        <w:t>Bei der Gesuchstellerin handelt es sich um eine 56-jährige, ledige Frau. Bezüglich ihrer privaten Situation in der Türkei lässt sich den Akten entnehmen, dass sie Bäuerin und Hausfrau ist. Sie habe ihr ganzes Leben in der Türkei verbracht und sei daher dort tief verwurzelt. Der Grossteil ihrer Verwandtschaft sowie ihre Freunde, mit welchen sie sich täglich treffe und sich über alltägliche Dinge austausche, würden in ihrer Nähe leben. Sie sei Analphabetin und lediglich der türkischen und kurdischen Sprache mächtig (SEM act. 6/70-71 und BVGer act. 1). Weitere Angaben zum privaten Hintergrund der Gesuchstellerin in ihrem Heimatland wurden nicht gemacht. Besondere soziale oder familiäre Verpflichtungen, welche sie von einer Emigration abhalten könnten, sind damit nicht erkennbar. Die Beschwerdeführenden weisen anlässlich der Inlandabklärung ebenfalls daraufhin, dass die Gesuchstellerin zuhause nicht viel zu tun habe und sie es sich deshalb erlauben könne, längere Zeit Ferien zu machen. Ergänzend führen sie aus, dass sie die Gesuchstellerin - falls es möglich wäre - gerne für einen noch längeren Zeitraum als drei Monate einladen würden (SEM act. 6/71). Vor diesem Hintergrund ist es den Beschwerdeführenden nicht gelungen, glaubhaft zu machen, dass die Mutter bzw. Schwiegermutter nach ihrem Besuchsaufenthalt die Schweiz fristgemäss wieder verlassen würde.</w:t>
      </w:r>
    </w:p>
    <w:p>
      <w:r>
        <w:rPr>
          <w:b/>
        </w:rPr>
        <w:t>E. 4.6</w:t>
      </w:r>
    </w:p>
    <w:p>
      <w:r>
        <w:t>Auch in wirtschaftlicher Hinsicht kann nichts zu Gunsten der Gesuchstellerin abgeleitet werden. Aus einem dem schweizerischen Generalkonsulat in Istanbul eingereichten Kontoauszug der «L._______» lässt sich entnehmen, dass die Gesuchstellerin per 2. Oktober 2019 über ein Schlussguthaben von EUR 37.49 (ca. Fr. 40.-) verfügte (SEM act. 4/26). Zwei weitere Bankauszüge der «S._______» weisen am 3. Oktober 2019 Saldi von EUR 1'000.- bzw. Fr. 4'000.- auf, welche jedoch auf gleichentags und kurz vor Einreichung des Visumsantrags erfolgte Überweisungen in derselben Höhe zurückzuführen sind (SEM act. 4/28-29). Die Herkunft der getätigten Einzahlungen ist aus den Akten nicht ersichtlich. Offen bleibt die Frage, ob es sich hierbei allenfalls um Unterstützungsleistungen handelt. Weitere Angaben zur finanziellen Situation der Gesuchstellerin finden sich nicht in den Akten. Vor dem Hintergrund der unklar gebliebenen Vermögenssituation kann jedenfalls nicht als erstellt gelten, die Gesuchstellerin lebe in wirtschaftlich günstigen oder privilegierten Verhältnissen, welche sie verlässlich von einer Emigration abzuhalten vermöchten, zumal sämtliche mit dem Besuchsaufenthalt verbundene Kosten gemäss Schreiben der Gastgeber von ihnen übernommen würden (SEM act. 2/9).</w:t>
      </w:r>
    </w:p>
    <w:p>
      <w:r>
        <w:rPr>
          <w:b/>
        </w:rPr>
        <w:t>E. 4.7</w:t>
      </w:r>
    </w:p>
    <w:p>
      <w:r>
        <w:t>Ebenfalls ist den Umständen Rechnung zu tragen, dass bereits ein Sohn - namentlich der Beschwerdeführer - und ein Bruder der Gesuchstellerin ihr Heimatland definitiv verlassen und sich in der Schweiz niedergelassen haben, woraus auf einen konkreten Migrationswillen in deren nächstem Umfeld geschlossen werden kann (SEM act. 6/71). Eine geringe Distanz zu den nächsten Angehörigen, die persönliche Fürsorge im Alter sowie eine bestmögliche medizinische Versorgung sind sodann oftmals entscheidend für eine allfällige Emigration (vgl. Urteil BVGer F-2905/2015 vom 26. August 2016 E. 6.3). Vor diesem Hintergrund können die Beteuerungen auf Beschwerdeebene, wonach genügend Garantien für eine fristgerechte Wiederausreise vorhanden seien, als nicht ausschlaggebend bezeichnet werden. Abschliessend gilt es ebenfalls darauf hinzuweisen, dass ein gleichlautendes Einreisebegehren bereits von den österreichischen Behörden abgewiesen worden ist (SEM act. 7/74; 4/40).</w:t>
      </w:r>
    </w:p>
    <w:p>
      <w:r>
        <w:rPr>
          <w:b/>
        </w:rPr>
        <w:t>E. 5</w:t>
      </w:r>
    </w:p>
    <w:p>
      <w:r>
        <w:t>Vor dem dargelegten allgemeinen und persönlichen Hintergrund des Gastes durfte die Vorinstanz zusammenfassend davon ausgehen, ihre Wiederausreise sei im Sinne der massgeblichen Bestimmungen nicht gesichert. An der Richtigkeit dieser Einschätzung ändert auch die Tatsache nichts, dass die Gesuchstellerin eine Ausreisebestätigung eingereicht und die Beschwerdeführenden eine Verpflichtungserklärung abgegeben und damit ihr Vertrauen in ein rechtskonformes Verhalten ihres Gastes zum Ausdruck gebracht haben (SEM act. 4/17 und 6/68-69). Auch wenn der Wunsch der Beschwerdeführenden, die Gesuchstellerin in die Schweiz einzuladen, verständlich ist, gilt es zu bedenken, dass bei der Risikobeurteilung in erster Linie das mögliche Verhalten des Gastes selbst von Bedeutung ist. Gastgeber können zwar mit rechtlich verbindlicher Wirkung für gewisse finanzielle Risiken im Zusammenhang mit einem Besuchsaufenthalt, nicht aber für ein bestimmtes Tun oder Unterlassen ihres Gastes einstehen (vgl. in diesem Zusammenhang auch BVGE 2009/27 E. 9).</w:t>
      </w:r>
    </w:p>
    <w:p>
      <w:r>
        <w:rPr>
          <w:b/>
        </w:rPr>
        <w:t>E. 6</w:t>
      </w:r>
    </w:p>
    <w:p>
      <w:r>
        <w:t>Mit der fehlenden Gewähr für eine anstandslose Wiederausreise ist eine zwingende Voraussetzung zur Erteilung eines Schengen-Visums nicht erfüllt. Gründe für die Ausstellung eines Visums mit räumlich beschränkter Gültigkeit wurden von den Beteiligten zu Recht nicht geltend gemacht und solche sind auch nicht ersichtlich (vgl. E. 3.5). Der Vollständigkeit halber ist zu erwähnen, dass sich die Beschwerdeführenden nicht auf Art. 8 EMRK berufen können, tangiert die Verweigerung der Einreisebewilligung doch vorliegend nicht die Kernfamilie, d.h. die Gemeinschaft der Ehegatten mit ihren minderjährigen Kindern. Den Beschwerdeführenden ist es als Schweizerbürger überdies möglich, die Gesuchstellerin in der Türkei - allenfalls auch gestaffelt - zu besuchen (SEM act. 4/33-34; vgl. dazu Urteil des BVGer F-1508/2017 vom 23. Juni 2017 E. 7.3 und 7.4).</w:t>
      </w:r>
    </w:p>
    <w:p>
      <w:r>
        <w:rPr>
          <w:b/>
        </w:rPr>
        <w:t>E. 7</w:t>
      </w:r>
    </w:p>
    <w:p>
      <w:r>
        <w:t>Gestützt auf die obigen Erwägungen ist die angefochtene Verfügung im Lichte von Art. 49 VwVG nicht zu beanstanden. Die Beschwerde ist daher abzuweisen.</w:t>
      </w:r>
    </w:p>
    <w:p>
      <w:r>
        <w:rPr>
          <w:b/>
        </w:rPr>
        <w:t>E. 8</w:t>
      </w:r>
    </w:p>
    <w:p>
      <w:r>
        <w:t>Bei diesem Ausgang des Verfahrens sind die Kosten den Beschwerdeführenden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