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F-2695/2020 vom 3. Juni 2020</w:t>
      </w:r>
    </w:p>
    <w:p>
      <w:r>
        <w:t>Bundesverwaltungsgericht, 2020-06-03, DE</w:t>
      </w:r>
    </w:p>
    <w:p>
      <w:r>
        <w:rPr>
          <w:b/>
        </w:rPr>
        <w:t xml:space="preserve">Quelle: </w:t>
      </w:r>
      <w:r>
        <w:t>https://mcp.opencaselaw.ch/entscheid/bvger_F-2695_2020</w:t>
      </w:r>
    </w:p>
    <w:p>
      <w:r>
        <w:t>FR: TAF F-2695/2020 du 3 juin 2020</w:t>
      </w:r>
    </w:p>
    <w:p>
      <w:r>
        <w:t>IT: TAF F-2695/2020 del 3 giugno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 unter Vorbehalt von E. 3. -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der vorliegenden Verfügung hat die Vorinstanz im Dispositiv keine Anordnungen zum ZEMIS-Eintrag getroffen, weshalb diesbezüglich kein Anfechtungsobjekt vorliegt. Der ZEMIS-Eintrag ist nicht Gegenstand des angefochtenen Nichteintretensentscheides und damit auch nicht des vorliegenden Verfahrens. Auf den entsprechenden Beschwerdeantrag bezüglich Berichtigung des ZEMIS-Eintrags ist nicht einzutreten. Der Beschwerdeführer müsste zur Änderung seines Geburtsdatums im ZEMIS vielmehr ein separates Verfahren bei der Vorinstanz anstrengen (vgl. zuletzt z.B. Urteile des BVGer E-1630/2020 vom 3. April 2020 S. 5; D-1619/2020 vom 24. März 2020 S. 4 f.).</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rügt in seiner Rechtsmitteleingabe eine Verletzung des Untersuchungsgrundsatzes aufgrund einer unvollständigen Sachverhaltsfeststellung und eine Verletzung der Begründungspflicht.</w:t>
      </w:r>
    </w:p>
    <w:p>
      <w:r>
        <w:rPr>
          <w:b/>
        </w:rPr>
        <w:t>E. 5.2</w:t>
      </w:r>
    </w:p>
    <w:p>
      <w:r>
        <w:t>Gemäss Art. 29 VwVG und Art. 29 Abs. 2 BV haben die Parteien Anspruch auf rechtliches Gehör.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Mit dem Gehörsanspruch korreliert die Pflicht der Behörden, die Vorbringen tatsächlich zu hören, ernsthaft zu prüfen und in ihrer Entscheidfindung angemessen zu berücksichtigen. Daraus folgt insbesondere die Verpflichtung der Behörde, ihren Entscheid ausreichend und nachvollziehbar zu begründen (statt vieler BGE 145 IV 99 E. 3.1).</w:t>
      </w:r>
    </w:p>
    <w:p>
      <w:r>
        <w:rPr>
          <w:b/>
        </w:rPr>
        <w:t>E. 5.3</w:t>
      </w:r>
    </w:p>
    <w:p>
      <w:r>
        <w:t>Der Beschwerdeführer macht geltend, die Vorinstanz habe den medizinischen Sachverhalt nicht genügend erfasst und damit den Entscheid nicht rechtsgenüglich begründet. Die Vorinstanz setzte sich in ihrer Verfügung mit den medizinischen Problemen des Beschwerdeführers auseinander und holte vor Erlass der Verfügung eine aktuelle ärztliche Auskunft ein. Er selbst legte keine Arztberichte zu den Akten und belegt auch die Behauptung nicht, wonach er während seines Aufenthalts in der Schweiz einen Antrag auf (...) Behandlung gestellt habe (vgl. E. 7.2 hiernach). Die formellen Rügen erweisen sich damit als unbegründet. Der Antrag auf Rückweisung der Sache zur vollständigen und richtigen Abklärung des rechtserheblichen Sachverhalts und zur Neubeurteilung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Von Wiederaufnahmeverfahren ausgeschlossen sind unbegleitete Minderjährige (vgl. Filzwieser/Sprung, Dublin III-Verordnung, Wien 2014, Kap. 16 zu Art. 8). 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7.1</w:t>
      </w:r>
    </w:p>
    <w:p>
      <w:r>
        <w:t>Die Vorinstanz hielt zur Begründung ihres Nichteintretensentscheids fest, dem Beschwerdeführer sei es nicht gelungen, seine Minderjährigkeit nachzuweisen oder glaubhaft zu machen. Er habe keine Dokumente eingereicht, die seine Identität zweifelsfrei nachweisen könnten. Seine Aussage, seine Geburtsurkunde sei in Libyen zerrissen worden und seinen Schülerausweis habe er weggeworfen, würden stereotyp erscheinen. Aufgrund seiner allgemein und oberflächlich gehaltenen Angaben zu seinen Familienmitgliedern seien auch sein persönlicher Lebensweg und die Vorbringen zu seinem Alter als unsubstantiiert und unglaubhaft zu werten. Aus dem Altersgutachten gehe nebst dem Mindestalter von 19 Jahren auch ein wahrscheinliches Alter mit einem Mittelwert von etwa 22 Jahren hervor, weshalb das Geburtsdatum auf den (...) festgelegt worden sei. Gemäss der Zustimmung der italienischen Behörden würden auch diese von der Volljährigkeit des Beschwerdeführers ausgehen, zumal er dort mit Jahrgang (...) erfasst worden sei. Der Abgleich seiner Fingerabdrücke mit der Datenbank Eurodac weise nach, dass er am 2. Februar 2018 in Italien um Asyl ersucht habe. Die dortigen Behörden hätten einer Rückübernahme gestützt auf die Dublin-Vertragsgrundlagen explizit zugestimmt. Es würden keine begründeten Hinweise vorliegen, Italien komme seinen völkerrechtlichen Verpflichtungen nicht nach und würde das Asyl- und Wegweisungsverfahren nicht korrekt durchführen. Italien verfüge über eine ausreichende medizinische Infrastruktur und Asylsuchende hätten Zugang dazu. Die gesundheitlichen Probleme des Beschwerdeführers seien erfolgreich behandelt worden und aufgrund seiner angeblichen (...) Leiden sei er nie bei der Pflege im Bundesasylzentrum vorstellig geworden. Eine erneute medizinische und (...) Behandlung könne auch in Italien vorgenommen werden. Auf die Einholung von Garantien der italienischen Behörden könne verzichtet werden, da er nicht an schwerwiegenden gesundheitlichen Problemen leide. In Würdigung der Aktenlage würden keine Gründe vorliegen, die die Anwendung der Souveränitätsklausel durch die Schweiz begründen könnten. Eine Überstellung nach Italien erfolge wegen des Covid-19 Virus erst, wenn dies technisch wieder möglich sei.</w:t>
      </w:r>
    </w:p>
    <w:p>
      <w:r>
        <w:rPr>
          <w:b/>
        </w:rPr>
        <w:t>E. 7.2</w:t>
      </w:r>
    </w:p>
    <w:p>
      <w:r>
        <w:t>Der Beschwerdeführer hält demgegenüber in seiner Rechtsmitteleingabe im Wesentlichen fest, er sei am (...) geboren und somit minderjährig. Die Vorinstanz habe nicht angemessen berücksichtigt, dass seine Aussagen zu seiner Biografie schlüssig und gleichbleibend gewesen seien. Als Mindestalter für die Schlüsselbein- respektive Skelettaltersanalyse sei im Altersgutachten von einem Alter von 19 Jahren ausgegangen worden, bei den zahnärztlichen Untersuchungen sei jedoch ein Mittelwert von 16 Jahren beziehungsweise ein Mindestalter von 17 Jahren festgehalten worden. Das Gutachten führe nicht aus, weshalb sich diese Werte widersprechen würden, und somit könne das Resultat des Altersgutachtens nur als schwaches Indiz gewertet werden. In der Schweiz habe er bereits mehrmals medizinische Behandlung in Anspruch genommen und einen Antrag auf (...) Behandlung gestellt. Damit gelte er als vulnerable Person, welcher das italienische Asylsystem nicht zugemutet werden könne. Die Vorinstanz habe deshalb einen Selbsteintritt vorzunehmen.</w:t>
      </w:r>
    </w:p>
    <w:p>
      <w:r>
        <w:rPr>
          <w:b/>
        </w:rPr>
        <w:t>E. 8.1</w:t>
      </w:r>
    </w:p>
    <w:p>
      <w:r>
        <w:t>Ein Abgleich der Fingerabdrücke des Beschwerdeführers mit der "Eurodac"-Datenbank ergab, dass dieser am 2. Februar 2018 in Italien ein Asylgesuch eingereicht hatte. Das SEM ersuchte deshalb die dortigen Behörden am 9. April 2020 um Wiederaufnahme des Beschwerdeführers gestützt auf Art. 23 Dublin-III-VO. Diese stimmten dem Gesuch am 23. April 2020 zu. Die grundsätzliche Zuständigkeit Italiens ist damit gegeben.</w:t>
      </w:r>
    </w:p>
    <w:p>
      <w:r>
        <w:rPr>
          <w:b/>
        </w:rPr>
        <w:t>E. 8.2</w:t>
      </w:r>
    </w:p>
    <w:p>
      <w:r>
        <w:t>Der Beschwerdeführer macht geltend, minderjährig zu sein. Die Beweislast für die behauptete Minderjährigkeit trägt grundsätzlich die asylsuchende Person.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Sämtliche Anhaltspunkte sind abzuwägen, wobei das Resultat des Altersgutachtens nur ein Element bei der Beurteilung der Frage der Glaubhaftigkeit einer geltend gemachten Minderjährigkeit darstellt (vgl. Urteil des BVGer D-6422/2016 vom 10. Januar 2017 E. 5.5). Der Beschwerdeführer reicht auch auf Beschwerdeebene keine Identitätsdokumente ein, die seine geltend gemachte Minderjährigkeit belegen könnten. Das Altersgutachten kam zum Schluss, das vom Beschwerdeführer angegebene Lebensalter von (...) Jahren und (...) Monaten lasse sich mit den erhobenen Befunden nicht vereinbaren. Es sei von einem Mindestalter von 19 Jahren auszugehen, wobei anhand der Untersuchung ein Lebensalter von etwa 22 Jahren wahrscheinlich sei. Das Altersgutachten würdigte verschiedene Aspekte und kam in einem Gesamtergebnis zu Gunsten des Beschwerdeführers zu einem Mindestalter von 19 Jahren. Dieses Vorgehen ist nicht zu beanstanden. Die Vorinstanz ging sodann zu Recht aufgrund des Aussageverhaltens des Beschwerdeführers von seiner Volljährigkeit aus. Befragt zum Zeitpunkt seiner Inhaftierung in Libyen gab er erst an, dies sei im Jahr 2016 gewesen; er sei damals (...) Jahre alt gewesen. Er korrigierte sich sogleich und merkte an, er sei 2019 als (...)-Jähriger in Haft gewesen (vgl. SEM-Akten act. A12 F5.02). Auch zu seiner Familie machte er nur oberflächliche Angaben und konnte weder das Alter seiner Eltern noch das seiner Geschwister nennen. Als weiteres Indiz ist sodann die Registrierung des Beschwerdeführers in Italien zu werten. Anlässlich seines Asylgesuchs am 2. Februar 2018 gab er sich als volljährig aus, weshalb die italienischen Behörden einer Rückübernahme zustimmten. In einer Gesamtwürdigung ist es dem Beschwerdeführer nicht gelungen, seine Minderjährigkeit nachzuweisen oder zumindest glaubhaft zu machen, weshalb er als volljährig betrachtet wird. An der grundsätzlichen Zuständigkeit Italiens ändert sich damit nichts.</w:t>
      </w:r>
    </w:p>
    <w:p>
      <w:r>
        <w:rPr>
          <w:b/>
        </w:rPr>
        <w:t>E. 8.3</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8.4</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geltend gemacht, die ihn bei einer Rückführung erwartenden Bedingungen in Italien seien derart schlecht, dass sie zu einer Verletzung von Art. 4 der EU-Grundrechtecharta, Art. 3 EMRK oder Art. 3 FoK führen könnten. Der Beschwerdeführer hat weiter keine konkreten Hinweise für die Annahme dargelegt,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Seine gesundheitlichen Probleme sind nicht derart gravierend, als dass eine Überstellung nach Italien eine tatsächliche Gefahr (real risk) einer Verletzung von Art. 3 EMRK mit sich bringen würde (vgl. BVGE 2011/9 E. 7 mit Hinweisen auf die Rechtsprechung des EGMR sowie Urteil des EGMR P. gegen Belgien vom 13. Dezember 2016 [Nr. 41738/10]). Gemäss ärztlicher Auskunft vom 24. April 2020 habe der Beschwerdeführer anlässlich der Untersuchung vom 16. April 2020 angegeben, es gehe ihm soweit gut und er habe keine weiteren Beschwerden angegeben (vgl. act. A30). Damit handelt es sich beim Beschwerdeführer nicht um eine besonders verletzliche Person. Daran ändern auch die geltend gemachten (...) Probleme nichts, zumal diese nicht belegt sind. Es besteht damit kein Anlass zur Einholung individueller Zusicherungen der italienischen Behörden, weshalb der entsprechende Antrag abzuweisen ist. Für einen Selbsteintritt der Schweiz gemäss Art. 29a Abs. 3 AsylV1 in Verbindung mit Art. 17 Dublin-III-VO besteht demnach keine Veranlassung. Eine Ermessenunterschreitung liegt nicht vor. Der Vollständigkeit halber ist festzuhalten, dass die Dublin-III-VO den Schutzsuchenden kein Recht einräumt, den ihren Antrag prüfenden Staat selber auszuwählen (vgl. auch BVGE 2010/45 E. 8.3).</w:t>
      </w:r>
    </w:p>
    <w:p>
      <w:r>
        <w:rPr>
          <w:b/>
        </w:rPr>
        <w:t>E. 8.5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11</w:t>
      </w:r>
    </w:p>
    <w:p>
      <w:r>
        <w:t>Nach dem Gesagten ist die Beschwerde abzuweisen, soweit darauf einzutreten ist,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w:t>
      </w:r>
    </w:p>
    <w:p>
      <w:r>
        <w:rPr>
          <w:b/>
        </w:rPr>
        <w:t>E. 13</w:t>
      </w:r>
    </w:p>
    <w:p>
      <w:r>
        <w:t>Mit dem vorliegenden Urteil fällt der am 26. Mai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