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F-2683/2026 vom 21. April 2026</w:t>
      </w:r>
    </w:p>
    <w:p>
      <w:r>
        <w:t>Bundesverwaltungsgericht, 2026-04-21, FR</w:t>
      </w:r>
    </w:p>
    <w:p>
      <w:r>
        <w:rPr>
          <w:b/>
        </w:rPr>
        <w:t xml:space="preserve">Quelle: </w:t>
      </w:r>
      <w:r>
        <w:t>https://mcp.opencaselaw.ch/entscheid/bvger_F-2683_2026</w:t>
      </w:r>
    </w:p>
    <w:p>
      <w:r>
        <w:t>FR: TAF F-2683/2026 du 21 avril 2026</w:t>
      </w:r>
    </w:p>
    <w:p>
      <w:r>
        <w:t>IT: TAF F-2683/2026 del 21 aprile 2026</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 par renvoi de l'art. 105 LAsi, en relation avec l'art. 83 let. d ch. 1 LTF).</w:t>
      </w:r>
    </w:p>
    <w:p>
      <w:r>
        <w:rPr>
          <w:b/>
        </w:rPr>
        <w:t>E. 1.2</w:t>
      </w:r>
    </w:p>
    <w:p>
      <w:r>
        <w:t>Les intéressés ont qualité pour recourir, la recourante agissant pour son fils mineur. Le mémoire de recours doit indiquer les conclusions, motifs et moyens de preuve et porter la signature du recourant ou de son mandataire (art. 52 al. 1 PA). En l'espèce, le recours ne satisfait pas entièrement aux conditions susmentionnées, en ce qu'il ne porte pas la signature manuscrite de la recourante. Toutefois, le Tribunal renonce, pour des motifs liés au principe de célérité ainsi qu'à l'économie de procédure, à impartir un délai supplémentaire à l'intéressée pour régulariser son recours. Au surplus, le recours est présenté dans le délai prescrit par la loi (art. 108 al. 3 LAsi). Il est donc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w:t>
      </w:r>
    </w:p>
    <w:p>
      <w:r>
        <w:rPr>
          <w:b/>
        </w:rPr>
        <w:t>E. 2.1</w:t>
      </w:r>
    </w:p>
    <w:p>
      <w:r>
        <w:t>Saisi d'un recours contre une décision de non-entrée en matière sur une demande d'asile, le Tribunal se limite à en examiner le bien-fondé (cf. ATAF 2017 VI/5 consid. 3.1). Plus précisément, il convient de déterminer si le SEM était fondé à faire application de l'art. 31a al. 1 let. b LAsi, disposition en vertu de laquelle il n'entre pas en matière sur une demande d'asile lorsque la partie requérante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(cf. art. 1 et 29a de l'ordonnance 1 du 11 août 1999 sur l'asile [OA 1, RS 142.311]). En vertu de l'art. 3 par. 1 RD III, une demande de protection internationale est examinée par un seul Etat membre, qui est celui que les critères énoncés au chapitre III de ce règlement désignent comme responsable. Dans une procédure de reprise en charge, telle qu'en l'espèce, il n'y a, en principe, aucun nouvel examen de la compétence selon ledit chapitre (cf. ATAF 2019 VI/7 consid. 6.4.1.3 ; 2017 VI/5 consid. 6.2, 6.3, 8.2.1 et 8.3).</w:t>
      </w:r>
    </w:p>
    <w:p>
      <w:r>
        <w:rPr>
          <w:b/>
        </w:rPr>
        <w:t>E. 2.3</w:t>
      </w:r>
    </w:p>
    <w:p>
      <w:r>
        <w:t>En l'occurrence, à la suite de la requête soumise par le SEM dans le délai prévu à l'art. 23 par. 2 RD III, les autorités allemandes compétentes ont expressément accepté de reprendre en charge des intéressés dans le délai fixé à l'art. 25 par. 1 RD III. Ainsi, l'Allemagne a reconnu sa compétence pour traiter de la procédure d'asile des recourants. En tant que telle, cette compétence n'est du reste pas contestée.</w:t>
      </w:r>
    </w:p>
    <w:p>
      <w:r>
        <w:rPr>
          <w:b/>
        </w:rPr>
        <w:t>E. 3</w:t>
      </w:r>
    </w:p>
    <w:p>
      <w:r>
        <w:t>Conformément à une jurisprudence constante et régulièrement actualisée, il n'y a aucune raison de penser qu'il existe en Allemagne des défaillances systémiques au sens de l'art. 3 par. 2 RD III, qui entraîneraient un risque de traitement inhumain ou dégradant au sens de l'art. 4 de la Charte des droits fondamentaux de l'Union européenne (JO C 364/1 du 18.12.2000, ci-après : Charte UE ; cf. arrêt du TAF F-9553/2025 du 15 décembre 2025 consid. 4 et les réf. citées). Partant, le respect par l'Allemagne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ainsi que 3 et 16 de la Convention du 10 décembre 1984 contre la torture et autres peines ou traitements cruels, inhumains ou dégradants (CCT, RS 0.105), demeure présumé. Si cette présomption peut être renversée par des indices sérieux que les autorités ne respecteraient pas le droit international (cf. ATAF 2017 VI/7 consid. 6.1 et 2010/45 consid. 7.4 et 7.5 ; arrêt du TAF F-1780/2026 du consid. 4.2), force est de constater que les recourants n'ont pas amené d'éléments probants permettant de parvenir à une telle conclusion, se contentant d'indiquer craindre un refoulement vers leur pays d'origine sans autre précision. S'agissant par ailleurs des éléments qu'ils n'auraient pas été en mesure de faire valoir dans le cadre de leur procédure d'asile en Allemagne, il leur appartiendra, cas échéant et après leur retour dans ce pays, de saisir les autorités compétentes pour obtenir une nouvelle décision.</w:t>
      </w:r>
    </w:p>
    <w:p>
      <w:r>
        <w:rPr>
          <w:b/>
        </w:rPr>
        <w:t>E. 4</w:t>
      </w:r>
    </w:p>
    <w:p>
      <w:r>
        <w:t>La recourante a également soutenu que son état de santé s'opposait à un transfert vers l'Allemagne.</w:t>
      </w:r>
    </w:p>
    <w:p>
      <w:r>
        <w:rPr>
          <w:b/>
        </w:rPr>
        <w:t>E. 4.1</w:t>
      </w:r>
    </w:p>
    <w:p>
      <w:r>
        <w:t>A cet égard, le Tribunal rappelle que le transfert de personnes touchées dans leur santé n'est susceptible de constituer une violation de l'art. 3 CEDH que dans des cas exceptionnels où celui-ci exposerait les personnes en cause à un déclin grave, rapide et irréversible de leur état de santé (cf. arrêt de la Cour EDH Paposhvili c. Belgique [GC], du 13 décembre 2016, req. 41738/10, confirmé dans l'arrêt Savran c. Danemark [GC], du 7 décembre 2021, req. 57467/15 ; ATAF 2017 VI/7 consid. 6.2 et les réf. cit.).</w:t>
      </w:r>
    </w:p>
    <w:p>
      <w:r>
        <w:rPr>
          <w:b/>
        </w:rPr>
        <w:t>E. 4.2</w:t>
      </w:r>
    </w:p>
    <w:p>
      <w:r>
        <w:t>En l'espèce, il ressort d'un certificat médical daté du 21 mars 2026 et produit à l'appui du recours que l'intéressée souffre de stress post-traumatique, d'état dépressif, de troubles du sommeil et qu'elle présente une dyspnée à l'effort. Compte tenu de ce tableau clinique, et sans remettre en cause la gravité de l'état de santé de la recourante, rien n'incite à penser qu'en cas de transfert, elle risquerait d'être exposé à un déclin grave, rapide et irréversible de son état de santé. Elle n'est pas atteinte d'une maladie d'une ampleur ou d'une spécificité telle qu'elle ne pourrait pas être traitée dans cet Etat, qui dispose de structures médicales équivalentes à la Suisse (cf. arrêt du TAF F-9553/2025 du 15 décembre 2025 consid. 5.2). Par ailleurs, il ne ressort pas du dossier que le recourant soit atteint dans sa santé, et les intéressés ne l'affirment pas. En outre, aucun élément concret ne permet de considérer que l'Allemagne refuserait aux intéressés l'accès aux soins en cas d'urgence ou de problèmes graves, les soins médicaux essentiels étant garantis dans ce pays, même pour les personnes en situation irrégulière (art. 14 par. 1 let. b de la directive 2008/115/CE du Parlement européen et du Conseil du 16 décembre 2008 relative aux normes et procédures communes applicables dans les Etats membres au retour des ressortissants de pays tiers en séjour irrégulier [JO L 348/98 du 24.12.2008]).</w:t>
      </w:r>
    </w:p>
    <w:p>
      <w:r>
        <w:rPr>
          <w:b/>
        </w:rPr>
        <w:t>E. 5</w:t>
      </w:r>
    </w:p>
    <w:p>
      <w:r>
        <w:t>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2022 I/6 consid. 4.3.3.1, 2015/9 consid. 8).</w:t>
      </w:r>
    </w:p>
    <w:p>
      <w:r>
        <w:rPr>
          <w:b/>
        </w:rPr>
        <w:t>E. 6</w:t>
      </w:r>
    </w:p>
    <w:p>
      <w:r>
        <w:t>Au regard de l'ensemble des éléments qui précèdent, c'est à bon droit que le SEM n'est pas entré en matière sur la demande d'asile des intéressés, en application de l'art. 31a al. 1 let. b LAsi, et qu'il a prononcé leur transfert vers l'Allemagne conformément à l'art. 44 1ère phr. LAsi, étant précisé qu'aucune exception à la règle générale du renvoi n'est réalisée (cf. art. 32 OA 1). Partant, le recours est rejeté.</w:t>
      </w:r>
    </w:p>
    <w:p>
      <w:r>
        <w:rPr>
          <w:b/>
        </w:rPr>
        <w:t>E. 7.1</w:t>
      </w:r>
    </w:p>
    <w:p>
      <w:r>
        <w:t>S'avérant manifestement infondé, il est rejeté dans une procédure à juge unique, avec l'approbation d'un second juge (art. 111 let. e LAsi). Il est dès lors renoncé à un échange d'écritures, le présent arrêt n'étant motivé que sommairement (art. 111a al. 1 et 2 LAsi). Dans la mesure où il a été immédiatement statué sur le fond, la requête formulée dans le recours tendant à l'exemption du paiement d'une avance de frais est sans objet. Le litige prenant fin, les mesures superprovisionnelles prononcées le 17 avril 2026 deviennent caduques.</w:t>
      </w:r>
    </w:p>
    <w:p>
      <w:r>
        <w:rPr>
          <w:b/>
        </w:rPr>
        <w:t>E. 7.2</w:t>
      </w:r>
    </w:p>
    <w:p>
      <w:r>
        <w:t>Les conclusions du recours étant d'emblée vouées à l'échec, la demande d'assistance judiciaire est rejetée.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 ceux-ci n'ont pas droit à des dépens (FITAF, RS 173.320.2).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