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F-2682/2016 vom 20. Dezember 2016</w:t>
      </w:r>
    </w:p>
    <w:p>
      <w:r>
        <w:t>Bundesverwaltungsgericht, 2016-12-20, DE</w:t>
      </w:r>
    </w:p>
    <w:p>
      <w:r>
        <w:rPr>
          <w:b/>
        </w:rPr>
        <w:t xml:space="preserve">Quelle: </w:t>
      </w:r>
      <w:r>
        <w:t>https://mcp.opencaselaw.ch/entscheid/bvger_F-2682_2016</w:t>
      </w:r>
    </w:p>
    <w:p>
      <w:r>
        <w:t>FR: TAF F-2682/2016 du 20 décembre 2016</w:t>
      </w:r>
    </w:p>
    <w:p>
      <w:r>
        <w:t>IT: TAF F-2682/2016 del 20 dicembre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Verfahrensgegenstand bildet einzig das von der Vorinstanz am 24. März 2016 verfügte Einreiseverbot. Nicht näher einzugehen ist deshalb auf die vom Rechtsvertreter wiederholt geäusserte Kritik am Vorgehen der EMF der Stadt Bern sowie des Kantonalen Zwangsmassnahmengerichts. Gemäss den Akten der zuständigen Migrationsbehörde ist er gegen die entsprechenden Entscheide (Wegweisungsverfügung vom 24. März 2016 bzw. Entscheid betr. Überprüfung der Anordnung der Ausschaffungshaft gleichen Datums) denn auch rechtsmittelweise vorgegangen.</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rügt der Parteivertreter vorab, die Vorinstanz habe den Anspruch auf rechtliches Gehör im Sinne von Art. 29 BV verletzt, indem sie seinem Mandanten keine Gelegenheit gegeben habe, sich vorgängig zum Einreiseverbot zu äussern.</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8 ff.; Kölz/Häner/Bertschi, Verwaltungsverfahren und Verwaltungsrechtspflege des Bundes, 3. Aufl., 2013, N. 214 ff. u. N. 546 f.).</w:t>
      </w:r>
    </w:p>
    <w:p>
      <w:r>
        <w:rPr>
          <w:b/>
        </w:rPr>
        <w:t>E. 3.2</w:t>
      </w:r>
    </w:p>
    <w:p>
      <w:r>
        <w:t>Entgegen der Darstellung in der Rechtsmitteleingabe vom 29. April 2016 hat man dem Beschwerdeführer das rechtliche Gehör am 23. März 2016 - also noch vor Erlass der Fernhaltemassnahme - gewährt (vgl. Akten der Vorinstanz [SEM act.] 8). Dass ihm das rechtliche Gehör nicht durch die verfügende Behörde selbst gewährt wurde, ist nicht von Belang (siehe Urteil des BVGer C-5193/2011 vom 10. August 2012 E. 3.4 m.H.). Vielmehr war die Anhörung durch die Ausländerbehörde der Stadt Bern zulässig, wurde das entsprechende Formular doch umgehend an das SEM weitergeleitet (vgl. hierzu Urteil des BVGer C-2397/2014 vom 19. Februar 2014 E. 3.4 m.H.; zur raschen zeitlichen Abfolge von Gehörsgewährung und angefochtener Verfügung siehe ferner Urteil des BVGer C-4659/2012 vom 25. Oktober 2013 E. 3.3). Den Akten kann sodann entnommen werden, dass der Beschwerdeführer vom Äusserungsrecht eigenhändig in seiner Muttersprache Gebrauch machte. Das Ganze geschah im Beisein einer der albanischen Sprache mächtigen Person. Die Gewährung des rechtlichen Gehörs hat er laut obgenanntem Formular gelesen, übersetzt erhalten und bestätigt. Die entsprechende Rüge erweist sich folglich als unbegründet.</w:t>
      </w:r>
    </w:p>
    <w:p>
      <w:r>
        <w:rPr>
          <w:b/>
        </w:rPr>
        <w:t>E. 3.3</w:t>
      </w:r>
    </w:p>
    <w:p>
      <w:r>
        <w:t>Auf Beschwerdeebene werden des Weiteren eine Parteibefragung, die Einvernahme von B._______ (Freundin) als Zeugin sowie von C._______ (Neffe) und dem Rechtsvertreter als Zeugen beantragt. Über diese Beweisanträge wurde bislang nicht befunden. Bei nicht anfechtbaren Entscheiden bzw. Verfügungen kann der Entscheid über die Beweisanträge ohnehin im Endurteil erfolgen (vgl. Waldmann/Bickel, a.a.O., Art. 33 N. 38).</w:t>
      </w:r>
    </w:p>
    <w:p>
      <w:r>
        <w:rPr>
          <w:b/>
        </w:rPr>
        <w:t>E. 3.4</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 Die Einvernahme von Zeuginnen und Zeugen ist nach Art. 14 VwVG nur unter der einschränkenden Voraussetzung anzuordnen, dass sich der Sachverhalt auf andere Weise nicht hinreichend abklären lässt (BGE 130 II 169 E. 2.3.3 und 2.3.4 S. 173), es handelt sich mit anderen Worten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3.5</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oder BGE 136 I 229 E. 5.3 je m.H.).</w:t>
      </w:r>
    </w:p>
    <w:p>
      <w:r>
        <w:rPr>
          <w:b/>
        </w:rPr>
        <w:t>E. 3.6</w:t>
      </w:r>
    </w:p>
    <w:p>
      <w:r>
        <w:t>Soweit eine Verletzung des Anspruchs auf rechtliches Gehör in seiner Funktion als Mittel zur Sachaufklärung geltend gemacht wird, gilt zunächst klarzustellen, dass besagter Anspruch nur die entscheidrelevanten Parteivorbringen umfasst. In diesem Zusammenhang ist zu berücksichtigen, dass das SEM zum Zeitpunkt des Erlasses bereits im Besitze einer Reihe wichtige Aufschlüsse vermittelnder Dokumente war. Dazu gehörten etwa Unterlagen aus der Zeitspanne von 2002 bis 2007/09, als der Beschwerdeführer aufgrund der Ehe mit einer Schweizerin ein Zeitlang hierzulande aufenthaltsberechtigt gewesen war (siehe SEM act. 1 - 7). Kenntnis hatte die Vorinstanz ausserdem von der Anordnung der Anschaffungshaft durch die EMF der Stadt Bern vom 23. März 2016 (SEM act. 10), der Wegweisungsverfügung vom 24. März 2016 (SEM act. 9), der wirklichen Nationalität der betroffenen Person (siehe Laissez-Passer vom 24. März 2016 für kosovarische Staatsangehörige [SEM act. 11]) sowie der Tatsache, dass der Beschwerdeführer zwei Tage zuvor am Schalter der Migrationsbehörde der Stadt Bern mit der Totalfälschung einer slowenischen Identitätskarte erschienen war. Sie konnte damit vorgängig auf wesentliche Aktenstücke zurückgreifen und sie würdigen, weshalb eine Gehörsverletzung auch unter diesem Blickwinkel zu verneinen ist.</w:t>
      </w:r>
    </w:p>
    <w:p>
      <w:r>
        <w:rPr>
          <w:b/>
        </w:rPr>
        <w:t>E. 3.7</w:t>
      </w:r>
    </w:p>
    <w:p>
      <w:r>
        <w:t>Losgelöst davon erschliesst sich der entscheidsrelevante Sachverhalt vorliegend in hinreichender Weise aus den Akten. Was die Befragung des Beschwerdeführers anbelangt, so erhielt er vor Erlass der angefochtenen Verfügung und während des Rechtsmittelverfahrens Gelegenheit, sich zur Angelegenheit zu äussern. Wesentlich Neues wäre bei einem Parteiverhör nicht zu erwarten. Die wiederholt monierten Unregelmässigkeiten bei den seinerzeitigen Einvernahmen durch die EMF der Stadt Bern (fehlender Dolmetscher, keine Protokollierung, etc.) sind nicht zu hören (vgl. E. 1.3 hiervor) und mit Blick auf den Ausgang des jetzigen Verfahrens ohnehin nicht von Belang, konnte der Betroffene seinen Standpunkt, wie eben angetönt, doch nun umfassend darlegen. Auch der Einvernahme seiner Freundin und eines Neffen als Zeugin bzw. Zeugen bedarf es nicht. Den Bindungen zu den genannten Bezugspersonen kommt bedingt durch den Verfahrensgegenstand (Einreiseverbot als reine Fernhaltemassnahme, kein Aufenthaltsverfahren) nämlich nicht die Bedeutung zu, welche ihnen der Parteivertreter beimisst (siehe dazu eingehender E. 7.3 und 7.4 weiter hinten). Von daher ist nicht anzunehmen, dass diesbezügliche Anordnungen zu Erkenntnissen führten, die über das aus den Akten bereits Bekannte hinausgehen. Den Parteivertreter als Zeugen einzuvernehmen wiederum erübrigt sich, weil er ausschliesslich Aussagen zum Vorgehen und der Verfahrensführung der EMF der Stadt Bern machen möchte, was - wie mehrfach erwähnt - nicht in dieses Verfahren gehört. Von den beantragten Beweisvorkehren kann deshalb in antizipierter Beweiswürdigung ohne Verletzung des rechtlichen Gehörs abgesehen werden (BGE 141 I 60 E. 3.3 und BGE 136 I 229 E. 5.3 je m.H.). Die Akten der Migrationsbehörde der Stadt Bern wurden hingegen antragsgemäss herangezogen.</w:t>
      </w:r>
    </w:p>
    <w:p>
      <w:r>
        <w:rPr>
          <w:b/>
        </w:rPr>
        <w:t>E. 3.8</w:t>
      </w:r>
    </w:p>
    <w:p>
      <w:r>
        <w:t>Schliesslich rügt der Rechtsvertreter eine Verletzung von Art. 9 BV, konkret eine willkürliche Aktenwürdigung durch das SEM, weil es einfach die Auffassung der Migrationsbehörde der Stadt Bern übernommen habe. Ob der rechtserhebliche Sachverhalt richtig und vollständig festgestellt wurde und die Würdigung der Parteivorbringen und Beweismittel korrekt erfolgte, bildet jedoch Gegenstand der materiell-rechtlichen Beurteilung.</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des Risikos einer künftigen Gefährdung an. Bei der Prognosestellung ist naturgemäss in erster Linie das vergangene Verhalten der betroffenen Person zu berücksichtigen (vgl. etwa Urteil des BVGer F-954/2016 vom 3. August 2016 E. 3.2 m.H.).</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C-535/2013 vom 9. Juli 2015 E. 4 m.H.).</w:t>
      </w:r>
    </w:p>
    <w:p>
      <w:r>
        <w:rPr>
          <w:b/>
        </w:rPr>
        <w:t>E. 6.1</w:t>
      </w:r>
    </w:p>
    <w:p>
      <w:r>
        <w:t>Aus den Akten geht hervor, dass der Beschwerdeführer zu einem nicht mehr genau bestimmbaren Datum mit einer gefälschten slowenischen Identitätskarte in die Schweiz einreiste. Unbestritten ist sodann, dass er mit diesem Dokument am 22. März 2016 persönlich bei der zuständigen Ausländerbehörde der Stadt Bern vorsprach und, unter gleichzeitiger Vorlage eines unbefristeten Arbeitsvertrages, um Erteilung einer Aufenthaltsbewilligung EU/EFTA ersuchte. Ein anderes Ausweispapier konnte er damals nicht vorweisen. Nachträgliche Abklärungen bestätigten, dass es sich bei der präsentierten slowenischen Identitätskarte um eine Totalfälschung handelte und der Beschwerdeführer diese Staatsbürgerschaft gar nie besessen hatte (vgl. Untersuchungsergebnis zur Dokumentenprüfung vom 23. März 2016 und Bestätigung der slowenischen Botschaft gleichen Datums, wonach die betreffende Person nicht im zentralen Register der slowenischen Staatsbürger figuriere [beides in den Akten der EMF der Stadt Bern]). Gestützt darauf wurde er vom Polizeiinspektorat der Stadt Bern am 1. April 2016 wegen Gebrauchs einer gefälschten Urkunde (Art. 251 StGB) und Täuschung der Behörden (Art. 118 Abs. 1 AuG) zur Anzeige gebracht. Deren Schicksal ist nicht aktenkundig. Das Einreiseverbot knüpft allerdings nicht an die Erfüllung einer Strafnorm oder die Ahndung nach derselben, sondern direkt an das Vorliegen einer Polizeigefahr an. Ob eine solche besteht und wie sie zu gewichten ist, hat die Behörde in eigener Kompetenz unter Zugrundelegung spezifisch ausländerrechtlicher Kriterien zu beurteilen. Die Behörde ist deshalb in der Regel nicht gehalten, den rechtskräftigen Abschluss eines Strafverfahrens abzuwarten. Vielmehr kann ein Einreiseverbot auch dann ergehen, wenn ein rechtskräftiges Strafurteil fehlt, sei es, weil ein Strafverfahren gar nicht eröffnet bzw. eingestellt wurde oder noch hängig ist (vgl. Urteil des BVGer C-6052/2013 vom 30. Juni 2015 E. 5.3 m.H.). Selbst wenn dem hier zu würdigenden Sachverhalt in strafrechtlicher Hinsicht die notwendige rechtliche Relevanz abginge, so reicht er in ausländerrechtlicher Hinsicht zweifelsohne aus, um eine Störung und Gefährdung der öffentlichen Sicherheit und Ordnung zu begründen. Ein solcher Schluss rechtfertigt sich umso mehr, als der Beschwerdeführer die gefälschte Ausweisschrift nicht bloss auf sich trug, sondern gegenüber einer schweizerischen Ausländerbehörde tatsächlich verwendete. Damit hat er hinreichenden Anlass für die Verhängung eines Einreiseverbots gegeben.</w:t>
      </w:r>
    </w:p>
    <w:p>
      <w:r>
        <w:rPr>
          <w:b/>
        </w:rPr>
        <w:t>E. 6.2</w:t>
      </w:r>
    </w:p>
    <w:p>
      <w:r>
        <w:t>Der Parteivertreter bestreitet in diesem Zusammenhang mit Nachdruck, sein Mandant habe sich rechtsmissbräuchlich verhalten. Dieser ha-be weder gewusst, dass es sich um eine Fälschung handle, noch dass er die Voraussetzungen für das Erlangen der slowenischen Staatsbürgerschaft nicht erfülle. Dem ist dagegen zu halten, dass die Anordnung eines Einreiseverbots kein vorsätzliches Handeln erfordert.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kundig zu machen (vgl. Urteil des BVGer F-10/2016 vom 20. September 2016 E. 5.3 m.H.). Dem Beschwerdeführer musste bewusst gewesen sein, dass eine fremde Staatsangehörigkeit nicht so ohne weiteres erworben werden kann. Selbst wenn er die entsprechenden Voraussetzungen nicht gekannt haben sollte, müsste er sich den Vorwurf gefallen lassen, nichts oder jedenfalls zu wenig zur Klärung der Frage unternommen zu haben, unter welchen Bedingungen er als Kosovare überhaupt slowenischer Staatsbürger werden könne. Aufgrund seines früheren Aufenthalts hierzulande war er sich der hohen Hürden für die Bewilligungserteilung an Drittstaatsangehörige überdies im Klaren. Insoweit hat er zumindest in Kauf genommen, die EMF der Stadt Bern zu täuschen, wobei es letztlich beim vollendeten Versuch blieb. Daraus ergibt sich, dass der Beschwerdeführer einen Fernhaltegrund im Sinne von Art. 67 Abs. 2 Bst. a AuG gesetzt hat.</w:t>
      </w:r>
    </w:p>
    <w:p>
      <w:r>
        <w:rPr>
          <w:b/>
        </w:rPr>
        <w:t>E. 6.3</w:t>
      </w:r>
    </w:p>
    <w:p>
      <w:r>
        <w:t>Hinzu kommen die in der angefochtenen Verfügung nicht explizit enthaltenen Vorwürfe der illegalen Einreise und des rechtswidrigen Aufenthalts (zur Zulässigkeit der Ergänzung der vorinstanzlichen Begründung im Sinne einer Motivsubstitution siehe beispielsweise Urteil des BVGer C-5080/2014 vom 21. März 2016 E. 5.3 m.H.). Dass sie objektiv berechtigt erscheinen, wird auf Beschwerdeebene nicht in Abrede gestellt; was die subjektive Komponente anbelangt, kann auf das eben Gesagte zur Anrechenbarkeit fahrlässiger Verhaltensweisen verwiesen werden. Soweit in der Replik darüber hinaus eingewendet wird, es sei nicht ersichtlich, inwiefern vom Beschwerdeführer künftig eine Gefährdung der öffentlichen Sicherheit ausgehe, wäre ergänzend anzumerken, dass ein solches Risiko von Gesetzes wegen vermutet wird (siehe Botschaft, a.a.O., S. 3760) und das Einreiseverbot zudem auch der Gefahrenabwehr durch Generalprävention im Sinne der Einwirkung auf andere Rechtsgenossinnen und Rechtsgenossen dient (vgl. Urteil des BVGer C-5556/2014 vom 28. Mai 2015 E. 4.8 m.H.). Wohl handelt es sich bei Art. 67 Abs. 2 AuG um eine Kann-Bestimmung, vergleichbare Verstösse werden gemäss geltender Praxis jedoch regelmässig mit Fernhaltemassnahmen geahndet. In Kombination mit dem Vorwurf des vollendeten Versuchs der Täuschung (siehe E. 6.1 und 6.2) besteht erst recht kein Anlass für eine abweichende Würdigung. Bei der derzeitigen Aktenlage offen gelassen werden kann, wie es sich mit den Fernhaltegründen von Art. 67 Abs. 1 Bst. a und Art. 67 Abs. 2 Bst. c AuG verhält, wurden die diesbezüglichen behördlichen Anordnungen (sofortige Wegweisung, Ausschaffungshaft) doch angefochten.</w:t>
      </w:r>
    </w:p>
    <w:p>
      <w:r>
        <w:rPr>
          <w:b/>
        </w:rPr>
        <w:t>E. 6.4</w:t>
      </w:r>
    </w:p>
    <w:p>
      <w:r>
        <w:t>Zusammenfassend ist festzuhalten, dass mehrere Gründe vorliegen, welche die Verhängung einer Fernhaltemassnahme zu rechtfertigen vermögen.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7.2</w:t>
      </w:r>
    </w:p>
    <w:p>
      <w:r>
        <w:t>Aus dem manifestierten Verhalten des Beschwerdeführers wird auf eine Gefährdung der öffentlichen Sicherheit und Ordnung geschlossen (vgl. E. 6.1 - 6.3 hiervor). An der Einhaltung der Rechtsordnung im Allgemeinen und der Vorschriften über Einreise, Aufenthalt und Erwerbstätigkeit im Besonderen besteht ein gewichtiges öffentliches Interesse. Wie schon angetönt, wirkt das Einreiseverbot hier einerseits präventiv, indem es andere Ausländerinnen und Ausländer angesichts der nachteiligen Folgen dazu anhält, die ausländerrechtliche Rechtsordnung des Gastlandes zu respektieren (zur Zulässigkeit der Berücksichtigung generalpräventiver Aspekte in Konstellationen, in denen wie hier kein sogenannter Vertragsausländer betroffen ist, siehe z.B. Urteil des Bundesgerichts 2C_282/2012 vom 31. Juli 2012 E. 2.5 m.H. oder Urteil des BVGer C-1542/2015 vom 27. Januar 2016 E. 3.2). Andererseits liegt eine spezialpräventive Zielsetzung der Massnahme darin, den Betroffenen zu ermahnen, bei einer allfälligen künftigen Wiedereinreise in die Schweiz nach Ablauf der Dauer des Einreiseverbots die für ihn geltenden Regeln einzuhalten (vgl. F-954/2016 E. 5.2 m.H.). Vorliegend kann zudem nicht ausser Acht gelassen werden, dass der Beschwerdeführer in mehrfacher Hinsicht gegen ausländerrechtliche Bestimmungen verstossen hat. Das öffentliche Interesse an seiner zeitweiligen Fernhaltung ist demnach als gewichtig anzusehen.</w:t>
      </w:r>
    </w:p>
    <w:p>
      <w:r>
        <w:rPr>
          <w:b/>
        </w:rPr>
        <w:t>E. 7.3</w:t>
      </w:r>
    </w:p>
    <w:p>
      <w:r>
        <w:t>An privaten Interessen bringt der Beschwerdeführer vor, dass seine Freundin in der Schweiz ansässig sei und auch ein Grossteil seiner Familie hierzulande lebe. Er gedenke, seine Freundin (sie ist Slowenin und im Besitze einer EU/EFTA-Bewilligung) zu heiraten, wolle jedoch noch eine gewisse Zeit zuwarten. Hierzu wäre vorweg klarzustellen,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das Land im Jahre 2007 nach der Auflösung seiner ersten Ehe mit einer Schweizerin verlassen. Die Wohnsitznahme in der Schweiz wie auch die Pflege regelmässiger persönlicher Kontakte scheitern mit anderen Worten bereits an der nicht mehr vorhandenen Aufenthaltsbewilligung. Eine allfällige neue Bewilligung bildet im Übrigen nicht Gegenstand dieses Verfahrens. Hierfür wäre der Kanton zuständig (vgl. dazu BVGE 2013/4 E. 7.4.1). Abgesehen davon ergeben sich aus den Akten keine Hinweise, wonach der Beschwerdeführer konkrete Schritte unternommen hat, um seine Freundin zu heiraten.</w:t>
      </w:r>
    </w:p>
    <w:p>
      <w:r>
        <w:rPr>
          <w:b/>
        </w:rPr>
        <w:t>E. 7.4</w:t>
      </w:r>
    </w:p>
    <w:p>
      <w:r>
        <w:t>Mit in Betracht zu ziehen ist ferner, dass dem Beschwerdeführer durch das Einreiseverbot Besuchsaufenthalte bei ihm nahe stehenden Personen in der Schweiz nicht schlechthin untersagt werden. Es steht ihm - wie die Vorinstanz in der Vernehmlassung festgehalten hat - vielmehr die Möglichkeit offen, aus wichtigen Gründen mittels begründeten Gesuchs die zeitweilige Suspension der angeordneten Fernhaltemassnahme zu beantragen (Art. 67 Abs. 5 AuG). Wohl wird die Suspension praxisgemäss nur für eine kurze und klar begrenzte Zeit gewährt (vgl. BVGE 2013/4 E. 7.4.3), indes können Kontakte noch auf andere Weise gepflegt werden (z.B. SMS, WhatsApp, Skype, Telefonate, Briefverkehr, usw.). Möglich wären auch Besuche der Freundin im Kosovo oder anderswo ausserhalb der Schengen-Staaten. Die mit dem Einreiseverbot verbundenen Einschränkungen sind also in mehrfacher Hinsicht zu relativieren. Was der Parteivertreter unter Ziff. 14 der Replik dagegen vorbringt, erschöpft sich in reiner Polemik und ist nicht zu kommentieren.</w:t>
      </w:r>
    </w:p>
    <w:p>
      <w:r>
        <w:rPr>
          <w:b/>
        </w:rPr>
        <w:t>E. 7.5</w:t>
      </w:r>
    </w:p>
    <w:p>
      <w:r>
        <w:t>Eine Abwägung der gegenläufigen öffentlichen und privaten Interessen führt das Bundesverwaltungsgericht zum Ergebnis, dass sich das auf drei Jahre befristete Einreiseverbot unter Berücksichtigung der gängigen Praxis in vergleichbaren Fällen als verhältnismässig und angemessen erweist.</w:t>
      </w:r>
    </w:p>
    <w:p>
      <w:r>
        <w:rPr>
          <w:b/>
        </w:rPr>
        <w:t>E. 8</w:t>
      </w:r>
    </w:p>
    <w:p>
      <w:r>
        <w:t>Einer Würdigung zu unterziehen gilt es abschliessend die Rechtmässigkeit der von der Vorinstanz angeordneten und vom Rechtsvertreter beanstandeten Ausschreibung des Einreiseverbots im SIS.</w:t>
      </w:r>
    </w:p>
    <w:p>
      <w:r>
        <w:rPr>
          <w:b/>
        </w:rPr>
        <w:t>E. 8.1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[EU] Nr. 2016/399 des Europäischen Parlaments und des Rates vom 9. März 2016 über einen Gemeinschaftskodex, SGK, Abl. L 77 vom 23. März 2016).</w:t>
      </w:r>
    </w:p>
    <w:p>
      <w:r>
        <w:rPr>
          <w:b/>
        </w:rPr>
        <w:t>E. 8.2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(vgl. Art. 2 und 21 SIS-II-VO). Die Daten zu Drittstaatsangehörigen, die zur Einreise- und Aufenthaltsverweigerung ausgeschrieben sind, werden dabei aufgrund einer nationalen Ausschreibung eingegeben, die auf einer Entscheidung der zuständigen Verwaltungsbehörden oder Gerichte beruht, wobei die Verfahrensregeln des nationalen Rechts zu beachten sind; diese Entscheidung darf nur auf der Grundlage einer individuellen Bewertung ergehen (Art. 24 Abs. 1 erster Satz SIS-II-VO). Gemäss Art. 24 Abs. 3 SIS-II-VO kann eine Ausschreibung dann ergehen, wenn die Entscheidung nach Abs. 1 darauf beruht, dass der Drittstaatsangehörige ausgewiesen, zurückgewiesen oder abgeschoben worden ist, wobei die Massnahme nicht aufgeschoben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w:t>
      </w:r>
    </w:p>
    <w:p>
      <w:r>
        <w:rPr>
          <w:b/>
        </w:rPr>
        <w:t>E. 8.3</w:t>
      </w:r>
    </w:p>
    <w:p>
      <w:r>
        <w:t>Aufgrund dessen kann der Beschwerdeführer als Drittstaatsangehöriger grundsätzlich zur Einreise- bzw. Aufenthaltsverweigerung im SIS II ausgeschrieben werden. Das dreijährige Einreiseverbot beruht namentlich darauf, dass der Beschwerdeführer gegenüber einer Migrationsbehörde eine Täuschungshandlung vornahm und er zudem illegal einreiste und sich rechtswidrig in der Schweiz aufhielt. Des Weiteren rechtfertigt in diesem Zusammenhang die Bedeutung des Falles eine Ausschreibung (Art. 21 SIS-II-VO; siehe dazu beispielsweise Urteil des BVGer C-7321/2015 vom 18. Februar 2016 E. 3.2.3). Ein Verzicht darauf käme nur in Betracht, wenn der Beschwerdeführer im Besitze eines gültigen Aufenthaltstitels eines anderen Schengener Landes wäre, was hier nicht zutrifft. Mit diesen Ausführungen ist nicht zu beanstanden, dass ihm die Vorinstanz die Einreise in das Hoheitsgebiet sämtlicher Schengener Staaten verboten hat, zumal die Schweiz auch deren Interessen zu wahren hat (vgl. BVGE 2011/48 E. 6.1).</w:t>
      </w:r>
    </w:p>
    <w:p>
      <w:r>
        <w:rPr>
          <w:b/>
        </w:rPr>
        <w:t>E. 8.4</w:t>
      </w:r>
    </w:p>
    <w:p>
      <w:r>
        <w:t>Den Mitgliedstaaten bleibt unbenommen, der betroffenen Person aus wichtigen Gründen oder aufgrund internationaler Verpflichtungen die Einreise in das eigene Hoheitsgebiet zu gestatten (vgl. Art. 13 Abs. 1 i.V.m. Art. 5 Abs. 4 Bst. c SGK) bzw. ihr ein Schengen-Visum mit räumlich beschränkter Gültigkeit auszustellen (vgl. Art. 25 Abs. 1 Bst. a [ii] der Verordnung [EG] Nr. 810/2009 des Europäischen Parlaments und des Rates vom 13. Juli 2009 über einen Visakodex der Gemeinschaft [Visakodex, Abl. L 243 vom 15. September 2009, S. 1]). Aus Kompetenzgründen steht der Schweiz bzw. deren Behörden diese Möglichkeit für fremde Staaten aber nicht zu. Der Beschwerdeführer hat die mit der Ausschreibung einhergehende zusätzliche Beeinträchtigung seiner persönlichen Bewegungsfreiheit insoweit in Kauf zu nehmen.</w:t>
      </w:r>
    </w:p>
    <w:p>
      <w:r>
        <w:rPr>
          <w:b/>
        </w:rPr>
        <w:t>E. 9</w:t>
      </w:r>
    </w:p>
    <w:p>
      <w:r>
        <w:t>Aus den vorstehenden Erwägungen ergibt sich, dass die angefochtene Verfügung rechtsfehlerfrei ist (Art. 49 VwVG). Die Beschwerde ist demzufolge abzuweisen.</w:t>
      </w:r>
    </w:p>
    <w:p>
      <w:r>
        <w:rPr>
          <w:b/>
        </w:rPr>
        <w:t>E. 10.1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Rechtsverbeiständung (Art. 65 Abs. 1 und 2 VwVG). In der verfahrensleitenden Anordnung des Bundesverwaltungsgerichts vom 8. Juli 2016 wurde der Entscheid darüber auf einen späteren Zeitpunkt verschoben (vgl. dazu Urteil des BGer 2C_555/2015 vom 21. Dezember 2015 Bst. C),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10.3</w:t>
      </w:r>
    </w:p>
    <w:p>
      <w:r>
        <w:t>Die Voraussetzungen von Art. 65 Abs. 1 VwVG sind erfüllt, weil das eingereichte Rechtsmittel nicht gerade als aussichtslos bezeichnet werden kann und die prozessuale Bedürftigkeit des Beschwerdeführers hinreichend belegt ist. Aufgrund der Besonderheiten des Falles (nicht reibungslose Verfahrensführung durch EMF der Stadt Bern, unvollständige Begründung der angefochtenen Verfügung, etc.) erscheint auch die Bestellung eines amtlichen Anwalts als angezeigt.</w:t>
      </w:r>
    </w:p>
    <w:p>
      <w:r>
        <w:rPr>
          <w:b/>
        </w:rPr>
        <w:t>E. 10.4</w:t>
      </w:r>
    </w:p>
    <w:p>
      <w:r>
        <w:t>Das Gericht setzt die Parteientschädigung und die Entschädigung für die amtlich bestellten Anwältinnen und Anwälte auf Grund der Kostennote fest. Wird keine Kostennote eingereicht, so setzt das Gericht die Entschädigung auf Grund der Akten fest (Art. 14 Abs. 2 VGKE). In Berücksichtigung des Umfanges und der Notwendigkeit der Eingaben, der Schwierigkeit der Streitsache in rechtlicher und tatsächlicher Hinsicht sowie der aktenkundigen Bemühungen ist das Honorar nach Massgabe der einschlägigen Bestimmungen auf Fr. 1'500.- (inkl. Auslagen; ohne Mehrwertsteuer, vgl. hierzu z. B. Urteil des BVGer C-5539/2014 vom 14. April 2016 E. 9.4 m.H.) festzusetzen (vgl. Art. 65 Abs. 2 und 3 VwVG i.V.m. Art. 9 ff. VGKE). Dieser Betrag ist vom Beschwerdeführer dem Bundesverwaltungsgericht zurückzuerstatten, sollte er später zu hinreichenden Mitteln gelangen (Art. 65 Abs. 4 VwVG).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