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F-2680/2017 vom 28. September 2017</w:t>
      </w:r>
    </w:p>
    <w:p>
      <w:r>
        <w:t>Bundesverwaltungsgericht, 2017-09-28, DE</w:t>
      </w:r>
    </w:p>
    <w:p>
      <w:r>
        <w:rPr>
          <w:b/>
        </w:rPr>
        <w:t xml:space="preserve">Quelle: </w:t>
      </w:r>
      <w:r>
        <w:t>https://mcp.opencaselaw.ch/entscheid/bvger_F-2680_2017</w:t>
      </w:r>
    </w:p>
    <w:p>
      <w:r>
        <w:t>FR: TAF F-2680/2017 du 28 septembre 2017</w:t>
      </w:r>
    </w:p>
    <w:p>
      <w:r>
        <w:t>IT: TAF F-2680/2017 del 28 settembre 2017</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zur Beschwerde legitimiert (Art. 48 Abs. 1 VwVG).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thailändischen Staatsangehörigen um Erteilung eines Visums für einen knapp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(vgl. Anhang I der oben in E. 4.2 erstzitierten Verordnung).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Sowohl die anhaltende politische Krise in Thailand, insbesondere aufgrund des Militärputsches im Mai 2014, als auch die schwierigen weltwirtschaftlichen Rahmenbedingungen wirken sich nach wie vor negativ auf die Wirtschaftsentwicklung des traditionell exportorientierten Landes aus. Das Wachstum blieb auch im Jahre 2015 mit 2,8% - wie bereits im vorangehenden Jahr - hinter den Erwartungen zurück. Die von der Übergangsregierung initiierten Massnahmen führen nur langsam zur wirtschaftlichen Erholung. Dank positiver Entwicklung in der Tourismusbranche und erster Wachstumsimpulse aus kurzfristigen Fördermassnahmen für kleine und mittlere Unternehmen sowie umfangreichen staatlichen Infrastrukturvorhaben wuchs das BIP im Jahr 2016 um 3,2 Prozent. Im Zuge der allgemeinen wirtschaftlichen Entwicklung hat sich zwar der Anteil der Bevölkerung, der unter der Armutsgrenze lebt, auf 10,3 % (2014) reduziert. Weitere 9 % der Bevölkerung sind jedoch von Armut bedroht. Vor allem in ländlich geprägten Gebieten im Norden, Nordosten und Süden Thailands ist Armut nach wie vor verbreitet. Die allgemeine Sicherheitslage in Thailand hat sich trotz des Militärputsches und eines Anschlags im Jahr 2015 stabilisiert (Quellen: Deutsches Auswärtiges Amt, www.auswaertiges-amt.de Aussen- und Europapolitik Länderinformationen Thailand Innenpolitik, Wirtschaft [Stand März 2017] sowie Reise- und Sicherheitshinweise [Stand 24. August 2017]; Weltbank, www.worldbank.org &gt; where we work &gt; Thailand &gt; systematic country diagnostic; Websites besucht im August 2017). 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5.4</w:t>
      </w:r>
    </w:p>
    <w:p>
      <w:r>
        <w:t>In Anbetracht dieser Umstände ist nicht zu beanstanden, wenn die Vorinstanz das Risiko einer nicht fristgerechten Wiederausreise mit Bezug auf gesuchstellende Personen aus Thailand allgemein als erheblich einschätzt. Allerdings sind bei der Risikoanalyse neben allgemeinen Umständen und Erfahrungen auch sämtliche Gesichtspunkte des konkreten Einzelfalls zu berücksichtigen. In beweisrechtlicher Hinsicht ist festzuhalten, dass ein Visum nur erteilt werden darf, wenn keine begründeten Zweifel an der Absicht der gesuchstellenden Person bestehen, den Schengen-Raum vor Ablauf des Visums wieder zu verlassen (vgl. BVGE 2014/1 E. 4.4 und E. 6.3.1 je m.H.).</w:t>
      </w:r>
    </w:p>
    <w:p>
      <w:r>
        <w:rPr>
          <w:b/>
        </w:rPr>
        <w:t>E. 6.1</w:t>
      </w:r>
    </w:p>
    <w:p>
      <w:r>
        <w:t>Bei der Gesuchstellerin handelt es sich um eine 37-jährige, ledige und kinderlose Frau. Sie hat regelmässigen Kontakt zu ihrem Vater, ihren Schwestern und deren Kindern sowie ihren Brüdern. In diesen Verhältnissen ist sicherlich eine gewisse soziale Einbindung in ein familiäres Gefüge zu erblicken. Es besteht jedoch kein Abhängigkeitsverhältnis zwischen der Gesuchstellerin und ihren Familienangehörigen. Gestützt auf die Akten sind auch keine gesellschaftlichen Verpflichtungen, die Gewähr für eine anstandslose Wiederausreise bieten, ersichtlich.</w:t>
      </w:r>
    </w:p>
    <w:p>
      <w:r>
        <w:rPr>
          <w:b/>
        </w:rPr>
        <w:t>E. 6.2</w:t>
      </w:r>
    </w:p>
    <w:p>
      <w:r>
        <w:t>Die wirtschaftlichen Verhältnisse, in denen sich die Gesuchstellerin befindet, lassen ebenfalls nicht auf eine günstige Prognose bezüglich einer gesicherten Wiederausreise schliessen. So wurde angegeben, die Gesuchstellerin arbeite als Serviceangestellte in der C._______ Bar in D._______ und verdiene monatlich Bath 15'000 sowie erhalte monatlich Trinkgeld von Bath 10'000.- (entspricht insgesamt rund US-Dollar 750.-; vgl. BVGer-act. 10 Beilage). Die Bevölkerung in Thailand verfügt im Jahr 2017 über ein durchschnittliches Pro-Kopf-Einkommen von umgerechnet 6'265.- US-Dollar pro Jahr (vgl. statista, das Statistik-Portal, https://de.statista.com/statistik/daten/studie/320648/umfrage/bruttoinlandsprodukt-bip-pro-kopf-in-thailand/ , abgerufen im August 2017). Das Einkommen der Gesuchstellerin soll mit rund US-Dollar 9'000.- (12 x 750.-) jährlich zwar über dem Durchschnitt liegen. Dass sie tatsächlich so viel verdient, konnte sie jedoch nicht belegen. Die Angaben zu ihrem Einkommen entsprechen nicht dem eingereichten Bankbeleg. Einem Bankauszug der "F._______" kann entnommen werden, dass über einen Zeitraum von rund sechs Monaten (11. August 2016 bis 15. Februar 2017) insgesamt Bath 127'187.33.- (entspricht rund US-Dollar 3'819.-) auf das Konto überwiesen worden sind und der Saldo des Kontos Mitte August 2016 Bath 21.81 betrug. Fraglich ist vorliegend, woher die Einnahmen stammen. So wurden der Gesuchstellerin von ihrem Arbeitgeber ("D._______ E._______") insgesamt Bath 35'500.- überwiesen, was ein monatliches Einkommen von rund Bath 5'917.- (entspricht rund US-Dollar 177.-) ergibt, welches somit unter dem Durchschnitt liegt. Woher die restlichen rund Bath 91'687.33 kommen, wurde nicht dargelegt (SEM-pag. 17 - 19). Es ist insbesondere nicht auszuschliessen, dass die Beträge gerade mit Hinblick auf die Erlangung des Schengen-Visums auf die Gesuchstellerin übertragen wurden (vgl. hierzu und zum Folgenden BVGE 2014/1 E. 6.3.6). Ohnehin könnte selbst ein ansehnliches Vermögen keine hinreichende Gewähr für eine fristgerechte und anstandslose Wiederausreise der Gesuchstellerin leisten. Im Falle einer Migration gehen Vermögenswerte nämlich nicht verloren. Aufgrund dieser Aktenlage kann nicht von einer beruflichen Verankerung oder auch nur von vorteilhaften wirtschaftlichen Verhältnissen ausgegangen werden, die nachhaltig von einer Emigration abzuhalten vermöchten.</w:t>
      </w:r>
    </w:p>
    <w:p>
      <w:r>
        <w:rPr>
          <w:b/>
        </w:rPr>
        <w:t>E. 6.3</w:t>
      </w:r>
    </w:p>
    <w:p>
      <w:r>
        <w:t>An den guten Absichten und der Integrität des Beschwerdeführers soll nicht gezweifelt werden. Er kann in seiner Eigenschaft als Gastgeber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seines Gastes (vgl. BVGE 2009/27 E. 9).</w:t>
      </w:r>
    </w:p>
    <w:p>
      <w:r>
        <w:rPr>
          <w:b/>
        </w:rPr>
        <w:t>E. 6.4</w:t>
      </w:r>
    </w:p>
    <w:p>
      <w:r>
        <w:t>Die Gesuchstellerin gab gegenüber der Schweizer Vertretung an, sie habe den Gastgeber im Dezember 2016 an ihrem Arbeitsplatz in der C._______ Bar getroffen. Sie hätten fünf Wochen zusammen verbracht. Bislang habe sie ihn erst einmal gesehen. (SEM-pag. 12). Der Beschwerdeführer führte aus, er habe die Gesuchstellerin in H._______ am Strand kennengelernt und sie hätten zusammen vier Wochen Ferien (von Dezember 2016 bis Januar 2017) verbracht. Sie würden seither täglich miteinander telefonieren (SEM-pag. 63 und 87). Demzufolge haben sich die Gesuchstellerin und der Beschwerdeführer bis anhin nur in Asien gesehen. Der Wunsch des Gastgebers, seine Freundin besser kennen zu lernen, ist verständlich. Aufgrund der vorgenommenen Beurteilung hat er sie aber - zumindest vorderhand - in deren Heimat zu treffen. Sollte zu gegebener Zeit ein Eheschluss ins Auge gefasst werden, so wäre über die Einreise der Gesuchstellerin - nach Abschluss der hierzu erforderlichen zivilstandsamtlichen Vorkehren - unter einem anderen Aspekt sowie in einem andersartigen Verfahren zu befinden (vgl. Art. 10 und 17 AuG bzw. Art. 42 AuG). Vorliegend wurde, wie angetönt, ein Visum für einen befristeten Besuchsaufenthalt beantragt, weshalb die Erteilung zwingend an eine fristgerechte Wiederausreise geknüpft ist. Kann hierfür keine Gewähr geboten werden, darf das beantragte Visum nicht erteilt werden (vgl. auch Urteil des BVGer F-7545/2016 vom 15. März 2017 E. 6.4 m.H.).</w:t>
      </w:r>
    </w:p>
    <w:p>
      <w:r>
        <w:rPr>
          <w:b/>
        </w:rPr>
        <w:t>E. 6.5</w:t>
      </w:r>
    </w:p>
    <w:p>
      <w:r>
        <w:t>Insgesamt ist die Schlussfolgerung der Vorinstanz, wonach die Wiederausreise der Gesuchstellerin angesichts der allgemeinen Lage im Heimatland und ihrer individuellen Situation zu wenig gesichert sei, nicht zu beanstanden.</w:t>
      </w:r>
    </w:p>
    <w:p>
      <w:r>
        <w:rPr>
          <w:b/>
        </w:rPr>
        <w:t>E. 6.6</w:t>
      </w:r>
    </w:p>
    <w:p>
      <w:r>
        <w:t>Mit der fehlenden Gewähr für eine anstandslose Wiederausreise ist eine unabdingbare Voraussetzung zur Erteilung eines Schengen-Visums nicht erfüllt. Es kann deshalb offen bleiben, ob die finanziellen Voraussetzungen erfüllt wären. Gründe für die Ausstellung eines Visums mit räumlich beschränkter Gültigkeit (vgl. dazu E. 4.5) liegen ebenfalls nicht vor.</w:t>
      </w:r>
    </w:p>
    <w:p>
      <w:r>
        <w:rPr>
          <w:b/>
        </w:rPr>
        <w:t>E. 7</w:t>
      </w:r>
    </w:p>
    <w:p>
      <w:r>
        <w:t>Aus vorstehenden Erwägungen folgt, dass die angefochtene Verfügung im Lichte von Art. 49 VwVG nicht zu beanstanden ist. Die Beschwerde ist daher abzuweisen. 8.8.1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28. Juni 2017 wurde der Entscheid über das Gesuch betreffend unentgeltliche Rechtspflege auf einen späteren Zeitpunkt verschoben, weshalb dies nun nachzuholen ist (BVGer-act. 7). 8.2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8.3 Das Gesuch um Gewährung der unentgeltlichen Prozessführung im Sinne von Art. 65 Abs. 1 VwVG ist abzuweisen, da der Beschwerde bereits im Zeitpunkt ihrer Einreichung keine Aussicht auf Erfolg zugesprochen werden konnte und somit auf die Frage der Bedürftigkeit nicht noch gesondert einzutreten ist. Dementsprechend sind die Verfahrenskosten, welche auf Fr. 800.-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