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F-2677/2021 vom 14. Juni 2021</w:t>
      </w:r>
    </w:p>
    <w:p>
      <w:r>
        <w:t>Bundesverwaltungsgericht, 2021-06-14, DE</w:t>
      </w:r>
    </w:p>
    <w:p>
      <w:r>
        <w:rPr>
          <w:b/>
        </w:rPr>
        <w:t xml:space="preserve">Quelle: </w:t>
      </w:r>
      <w:r>
        <w:t>https://mcp.opencaselaw.ch/entscheid/bvger_F-2677_2021</w:t>
      </w:r>
    </w:p>
    <w:p>
      <w:r>
        <w:t>FR: TAF F-2677/2021 du 14 juin 2021</w:t>
      </w:r>
    </w:p>
    <w:p>
      <w:r>
        <w:t>IT: TAF F-2677/2021 del 14 giugno 2021</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rügt, die Vorinstanz habe trotz seiner geltend gemachten gesundheitlichen Probleme keine Untersuchungen veranlasst und somit den medizinischen Sachverhalt ungenügend festgestellt. Anlässlich des Dublin-Gesprächs gab der Beschwerdeführer an, er habe grundsätzlich keine gesundheitlichen Probleme. Seit er in der Schweiz sei, leide er aber an Schlafstörungen, weil er ständig daran denken müsse, ob er Aufenthaltspapiere erhalte. Am 17. Mai 2021 suchte er die Dienste des Pflegefachpersonals auf und liess sich Medikamente gegen Schmerzen an der Wade und Hand geben; psychische Probleme erwähnte er nicht. Am 28. Mai 2021 gab er gegenüber der Rechtsvertretung zwar eine Verschlechterung des psychischen Gesundheitszustandes an, meldete sich aber nachweislich bis zum 31. Mai 2021 nicht bei Pflegefachpersonal. Die Vorinstanz war angesichts dieser Umstände nicht gehalten, weitere medizinische Abklärungen zu veranlassen. Es liegt keine Verletzung des Untersuchungsgrundsatzes vor.</w:t>
      </w:r>
    </w:p>
    <w:p>
      <w:r>
        <w:rPr>
          <w:b/>
        </w:rPr>
        <w:t>E. 3.2</w:t>
      </w:r>
    </w:p>
    <w:p>
      <w:r>
        <w:t>Der Beschwerdeführer moniert, die Vorinstanz habe das rechtliche Gehör verletzt, indem sie ihm die Einsicht in die medizinischen Unterlagen und in den internen E-Mailverkehr der Pflege verweigert habe. Der Beschwerdeführer ersuchte die Vorinstanz am 4. Juni 2021 um Einsicht in den internen E-Mailverkehr der Pflege vom 28. Mai 2021 (recte: 27. Mai 2021) und in die medizinischen Unterlagen. Die Vorinstanz gewährte ihm daraufhin Einsicht in die Aktennotiz vom 31. Mai 2021. Die Aktennotiz enthält sowohl den Inhalt des internen E-Mailverkehrs der Pflege als auch weitergehende Informationen. Medizinische Unterlagen sind nicht vorhanden, was für den Beschwerdeführer aufgrund des Aktenverzeichnisses ohne Weiteres erkennbar war. Dem Akteneinsichtsrecht (Art. 26 VwVG) wurde somit Genüge getan.</w:t>
      </w:r>
    </w:p>
    <w:p>
      <w:r>
        <w:rPr>
          <w:b/>
        </w:rPr>
        <w:t>E. 3.3</w:t>
      </w:r>
    </w:p>
    <w:p>
      <w:r>
        <w:t>Der Beschwerdeführer rügt, die Vorinstanz habe die Begründungspflicht verletzt, indem sie seine Rücküberstellung nach Rumänien nur mit einem generellen Verweis, Rumänien halte seine völkerrechtlichen Verpflichtungen ein, begründet und sich nicht mit der aktuellen Lage in Rumänien auseinandergesetzt habe. Die Vorinstanz hat sich in der Begründung ausführlich zu den völkerrechtlichen Verpflichtungen Rumäniens geäussert und die aktuelle Rechtsprechung des Bundesverwaltungsgerichts zur Wegweisung nach Rumänien im Rahmen des Dublin-Verfahrens zitiert. Weitergehende Ausführungen zur Lage in Rumänien waren angesichts dieser klaren Sach- und Rechtslage nicht erforderlich. Es liegt somit keine Verletzung der Begründungspflicht (Art. 35 Abs. 1 VwVG) vor.</w:t>
      </w:r>
    </w:p>
    <w:p>
      <w:r>
        <w:rPr>
          <w:b/>
        </w:rPr>
        <w:t>E. 3.4</w:t>
      </w:r>
    </w:p>
    <w:p>
      <w:r>
        <w:t>Die formellen Rügen erweisen sich angesichts dieser Sachlage als unbegründet, weshalb keine Veranlassung besteht, die angefochtene Verfügung aufzuheben und die Sache an die Vorinstanz zurückzuweisen. Das entsprechende Rechtsbegehren ist somit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rumänischen Behörden stimmten dem Übernahmeersuchen der Vor-instanz innert der in Art. 25 Abs. 1 Dublin-III-VO festgelegten Frist zu. Die Zuständigkeit Rumäniens ist somit grundsätzlich gegeben.</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5.1</w:t>
      </w:r>
    </w:p>
    <w:p>
      <w:r>
        <w:t>Der Beschwerdeführer bringt vor, das rumänische Asylverfahren und Aufnahmesystem wiesen systemische Mängel auf. Sein Asylgesuch sei in Rumänien abgelehnt worden, weshalb er bei einer Rückkehr nach Rumänien bezüglich Unterbringung und Versorgung schlechter gestellt wäre als die dortigen Asylsuchenden. Bei einer Überstellung nach Rumänien bestehe die Gefahr einer Verletzung von Art. 3 EMRK.</w:t>
      </w:r>
    </w:p>
    <w:p>
      <w:r>
        <w:rPr>
          <w:b/>
        </w:rPr>
        <w:t>E. 5.2</w:t>
      </w:r>
    </w:p>
    <w:p>
      <w:r>
        <w:t>Das Bundesverwaltungsgericht - wie auch der Europäische Gerichtshof für Menschenrechte (EGMR) und der Europäische Gerichtshof (EuGH) - verneint das Vorliegen wesentlicher Gründe für die Annahme, dass das Asylverfahren und die Aufnahmebedingungen für asylsuchende Personen in Rumänien systemische Mängel im Sinne von Art. 3 Abs. 2 Dublin-III-VO hätten, die eine Gefahr einer unmenschlichen oder entwürdigenden Behandlung im Sinne des Art. 4 der EU-Grundrechtecharta mit sich bringen würden (Urteile des BVGer F-2270/2021 vom 27. Mai 2021 E. 4.2; F-2055/2021 vom 5. Mai 2021 E. 6.2). Der Beschwerdeführer bringt nichts vor, das Anlass zur Änderung der Rechtsprechung geben könnte. Eine Anwendung von Art. 3 Abs. 2 Dublin-III-VO ist daher nicht gerechtfertigt.</w:t>
      </w:r>
    </w:p>
    <w:p>
      <w:r>
        <w:rPr>
          <w:b/>
        </w:rPr>
        <w:t>E. 6.1</w:t>
      </w:r>
    </w:p>
    <w:p>
      <w:r>
        <w:t>Der Beschwerdeführer macht geltend, eine vertiefte Auseinandersetzung mit der Lage in Rumänien und eine Abklärung seines Gesundheitszustandes würden ergeben, dass ihm bei einer Überstellung nach Rumänien eine Verletzung von Art. 3 EMRK drohe. Die Schweiz habe daher ihr Recht auf Selbsteintritt auszuüben.</w:t>
      </w:r>
    </w:p>
    <w:p>
      <w:r>
        <w:rPr>
          <w:b/>
        </w:rPr>
        <w:t>E. 6.2</w:t>
      </w:r>
    </w:p>
    <w:p>
      <w:r>
        <w:t>Hinsichtlich der Lage in Rumänien kann auf Erwägung 5.2 verwiesen werden. Bei der medizinischen Konsultation vom 17. Mai 2021 erwähnte der Beschwerdeführer keine psychischen Probleme. Gemäss einem Behandlungseintrag vom 9. Juni 2021 gab er an, an Schlafstörungen, Gedankenkreisen und Unruhe zu leiden sowie Selbstgespräche zu führen. Der Arzt vermerkte unter der Rubrik Diagnose: "psychisches Problem (PTBS?)". Seine psychischen Probleme sowie ein Behandlungsbedarf sind demnach nicht ausgewiesen. Sollte er dennoch nach der Rückkehr nach Rumänien eine medizinische Behandlung benötigen, so ist darauf hinzuweisen, dass Rumänien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der Richtlinien des Europäischen Parlaments und des Rates 2013/33/EU vom 26. Juni 2013 zur Festlegung von Normen für die Aufnahme von Personen, die internationalen Schutz beantragen [sog. Aufnahmerichtlinie]). Antragstellenden mit besonderen Bedürfnissen ist die erforderliche medizinische oder sonstige Hilfe, einschliesslich psychologischer Betreuung, zu gewähren (Art. 19 Abs. 2 Aufnahmerichtlinie). Es liegen keine Hinweise vor, wonach Rumänien dem Beschwerdeführer eine adäquate medizinische Behandlung verweigern würde. Es droht keine Verletzung von Art. 3 EMRK, weshalb die Schweiz nicht zum Selbsteintritt nach Art. 17 Abs. 1 Dublin-III-VO verpflichtet ist. Auch humanitäre Gründe i.S.v. Art. 29a Abs. 3 AsylV 1 liegen nicht vor. Aus denselben Gründen ist auch das Eventualbegehren, die Sache an die Vorinstanz zurückzuweisen und diese anzuweisen, von den rumänischen Behörden Garantien betreffend Zugang zum Asylverfahren, angemessene Unterbringung und (medizinische) Versorgung einzuholen, abzuweisen.</w:t>
      </w:r>
    </w:p>
    <w:p>
      <w:r>
        <w:rPr>
          <w:b/>
        </w:rPr>
        <w:t>E. 7</w:t>
      </w:r>
    </w:p>
    <w:p>
      <w:r>
        <w:t>Nach dem Gesagten ist die Beschwerde abzuweisen. Mit dem vorliegenden Urteil fällt der am 8. Juni 2021 angeordnete Vollzugsstopp dahin. Das Gesuch um Erteilung der aufschiebenden Wirkung ist gegenstandslos geworden.</w:t>
      </w:r>
    </w:p>
    <w:p>
      <w:r>
        <w:rPr>
          <w:b/>
        </w:rPr>
        <w:t>E. 8.1</w:t>
      </w:r>
    </w:p>
    <w:p>
      <w:r>
        <w:t>Die Begehren erweisen sich als aussichtslos, weshalb das Gesuch um Gewährung der unentgeltlichen Prozessführung ungeachtet einer allfälligen prozessualen Bedürftigkeit abzuweisen ist (Art. 65 Abs. 1 VwVG).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