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F-2670/2025 vom 24. April 2025</w:t>
      </w:r>
    </w:p>
    <w:p>
      <w:r>
        <w:t>Bundesverwaltungsgericht, 2025-04-24, DE</w:t>
      </w:r>
    </w:p>
    <w:p>
      <w:r>
        <w:rPr>
          <w:b/>
        </w:rPr>
        <w:t xml:space="preserve">Quelle: </w:t>
      </w:r>
      <w:r>
        <w:t>https://mcp.opencaselaw.ch/entscheid/bvger_F-2670_2025</w:t>
      </w:r>
    </w:p>
    <w:p>
      <w:r>
        <w:t>FR: TAF F-2670/2025 du 24 avril 2025</w:t>
      </w:r>
    </w:p>
    <w:p>
      <w:r>
        <w:t>IT: TAF F-2670/2025 del 24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Beim Entscheid, ob ein Folgegesuch, das nach einer im Dublin-Verfahren ergangenen Nichteintretens- und Überstellungsverfügung eingereicht wird, ein Wiedererwägungs- (Art. 111b AsylG) oder ein Mehrfachgesuch (Art. 111c AsylG) darstellt, ist darauf abzustellen, ob die Überstellung bereits vollzogen wurde (Mehrfachgesuch) oder nicht (Wiedererwägung; vgl. BVGE 2017 VI/5 E. 4). Die rechtliche Qualifikation der Eingabe vom 26. März 2025 als Mehrfachgesuch durch die Vorinstanz stellen die Beschwerdeführenden nicht in Frage, weshalb sich Weiterungen dazu erübrigen.</w:t>
      </w:r>
    </w:p>
    <w:p>
      <w:r>
        <w:rPr>
          <w:b/>
        </w:rPr>
        <w:t>E. 5.1</w:t>
      </w:r>
    </w:p>
    <w:p>
      <w:r>
        <w:t>Gemäss Art. 3 Abs. 1 Dublin-III-VO wird jeder Asylantrag von einem einzigen Mitgliedstaat geprüft, der nach den Kriterien des Kapitels III als zuständiger Staat bestimmt wird. Litauen hat der Wiederaufnahme (engl.: take back) der Beschwerdeführenden gestützt auf Art. 18 Abs. 1 Bst. d Dublin-III-VO vorbehaltlos zugestimmt. Die grundsätzliche Zuständigkeit Litauens ist damit gegeben.</w:t>
      </w:r>
    </w:p>
    <w:p>
      <w:r>
        <w:rPr>
          <w:b/>
        </w:rPr>
        <w:t>E. 5.2</w:t>
      </w:r>
    </w:p>
    <w:p>
      <w:r>
        <w:t>Die Dublin-III-VO räumt den Schutzsuchenden kein Recht ein, den ihren Antrag prüfenden Staat selber auszuwählen (vgl. BVGE 2010/45 E. 8.3).</w:t>
      </w:r>
    </w:p>
    <w:p>
      <w:r>
        <w:rPr>
          <w:b/>
        </w:rPr>
        <w:t>E. 6</w:t>
      </w:r>
    </w:p>
    <w:p>
      <w:r>
        <w:t>Die Rechtsprechung geht davon aus, dass die Situation für im Rahmen von Dublin-Verfahren nach Litauen überstellte Personen nicht identisch ist mit derjenigen von illegal einreisenden Personen. Wesentliche Gründe für die Annahme, das litauische Asylwesen leide an systemischen Schwachstellen, liegen derzeit nicht vor. Dies gilt auch unter Berücksichtigung der ausländischen Rechtsprechung sowie aktueller Länderberichte (vgl. Urteile des BVGer E-5336/2023 vom 9. Oktober 2023 E. 4.4. m.w.H und E-5353/2022 vom 9. November 2023 E. 11.1).</w:t>
      </w:r>
    </w:p>
    <w:p>
      <w:r>
        <w:rPr>
          <w:b/>
        </w:rPr>
        <w:t>E. 7.1</w:t>
      </w:r>
    </w:p>
    <w:p>
      <w:r>
        <w:t>Der Beschwerdeführer macht geltend, seine Frau sei in den Irak zurückgekehrt und habe gegen ihn eine Anzeige wegen Gewalt in der Ehe eingereicht, weshalb er nicht in seinen Heimatstaat gehen könne. Er werde von der Familie seiner Frau bedroht und sei deshalb auch in Litauen nicht sicher. Dort sei ihm gesagt worden, dass er keine Aufenthaltsbewilligung erhalten werde, weshalb er befürchte, in den Irak ausgeschafft zu werden. Seine Kinder würden nicht mehr gut schlafen und sein Sohn stosse jeweils mit seinem Kopf gegen die Bettmatratze und drehe den Kopf hin und her. Beide älteren Kinder würden gemäss den kontaktierten Ärzten in der Schweiz an einen Psychiater überwiesen werden. Hier könnten seine Kinder behandelt werden, während ihm in Litauen gesagt worden sei, sie könnten nicht zu einem Psychiater. Die Beschwerdeführenden beantragen damit sinngemäss die Ausübung des sogenannten Selbsteintrittsrechts nach Art. 17 Abs. 1 erster Satz Dublin-III-VO und Art. 29a Abs. 3 der Asylverordnung 1 vom 11. August 1999 (AsylV 1, SR 142.311).</w:t>
      </w:r>
    </w:p>
    <w:p>
      <w:r>
        <w:rPr>
          <w:b/>
        </w:rPr>
        <w:t>E. 7.2</w:t>
      </w:r>
    </w:p>
    <w:p>
      <w:r>
        <w:t>Litauen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 Januar 1967 (SR 0.142.301) und hat die diesbezüglichen völkerrechtlichen Verpflichtungen zu beachten.</w:t>
      </w:r>
    </w:p>
    <w:p>
      <w:r>
        <w:rPr>
          <w:b/>
        </w:rPr>
        <w:t>E. 7.3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Eine solche Situation macht der Beschwerdeführer nicht geltend und ist auch aus den Akten nicht ersichtlich. Bereits im Urteil E-5353/2022 wurde festgehalten, dass der Umstand, dass sich der Sohn jeweils den Kopf gegen eine Bettmatratze stosse, nicht aussagekräftig genug sei, um auf seine Spracherwerbsstörung zu schliessen oder einen allfälligen Konnex mit dem bisher Erlebten in Litauen herzustellen (vgl. Urteil BVGer E-5353/2022 vom 9. November 2023 E. 11.2.2).</w:t>
      </w:r>
    </w:p>
    <w:p>
      <w:r>
        <w:rPr>
          <w:b/>
        </w:rPr>
        <w:t>E. 7.4</w:t>
      </w:r>
    </w:p>
    <w:p>
      <w:r>
        <w:t>Das Kindeswohl steht einer Überstellung der Beschwerdeführenden ebenfalls nicht entgegen. Es liegen keine erhärteten Hinweise dafür vor, dass sich Litauen als Signatarstaat des Übereinkommens über die Rechte des Kindes (Kinderrechtskonvention [KRK], SR 0.107) nicht an seine entsprechenden völkerrechtlichen Verpflichtungen halten würde. Die Kinder können nach der Überstellung weiterhin in der Obhut ihres Vaters bleiben. Einen unmittelbaren Anspruch auf die Erteilung einer ausländerrechtlichen Bewilligung, a fortiori also auch einen Anspruch auf Aufenthalt im Staat mit den für ein Kind vorteilhaftesten Bedingungen, gewährt die KRK nicht (vgl. Urteil des BVGer F-6644/2023 vom 13. Dezember 2023 E. 5.4 m.w.H.).</w:t>
      </w:r>
    </w:p>
    <w:p>
      <w:r>
        <w:rPr>
          <w:b/>
        </w:rPr>
        <w:t>E. 7.5</w:t>
      </w:r>
    </w:p>
    <w:p>
      <w:r>
        <w:t>Litauen ist ein funktionierender Rechtsstaat und die Behörden sind gewillt und fähig, staatlichen Schutz zu gewähren. Ein negativer Asylentscheid der litauischen Behörden, wie ihn die Beschwerdeführende erhalten haben (vgl. SEM-Akten act. 11), bildet kein Überstellungshindernis. Konkrete Anhaltspunkte dafür, dass die dortigen Behörden ihren Antrag auf internationalen Schutz nicht unter Einhaltung der Verfahrensrichtlinie geprüft oder das Asylverfahren mangelhaft durchgeführt hätten, sind nicht ersichtlich und werden von den Beschwerdeführenden auch nicht geltend gemacht.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w:t>
      </w:r>
    </w:p>
    <w:p>
      <w:r>
        <w:rPr>
          <w:b/>
        </w:rPr>
        <w:t>E. 8</w:t>
      </w:r>
    </w:p>
    <w:p>
      <w:r>
        <w:t>Die Vorinstanz hat in rechtsfehlerfreier Ausübung des ihr nach Art. 17 Abs. 1 Dublin-III-VO und Art. 29a Abs. 3 AsylV 1 zukommenden Ermessens von einem freiwilligen Selbsteintritt der Schweiz abgesehen. Sie ist demnach zu Recht in Anwendung von Art. 31a Abs. 1 Bst. b AsylG auf das Asylgesuch nicht eingetreten und hat in Anwendung von Art. 44 AsylG die Wegweisung nach Litauen angeordnet.</w:t>
      </w:r>
    </w:p>
    <w:p>
      <w:r>
        <w:rPr>
          <w:b/>
        </w:rPr>
        <w:t>E. 9</w:t>
      </w:r>
    </w:p>
    <w:p>
      <w:r>
        <w:t>Die Beschwerde ist abzuweisen. Der am 16. April 2025 angeordnete Vollzugsstopp fällt mit vorliegendem Urteil dahin.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