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F-265/2020 vom 2. März 2020</w:t>
      </w:r>
    </w:p>
    <w:p>
      <w:r>
        <w:t>Bundesverwaltungsgericht, 2020-03-02, FR</w:t>
      </w:r>
    </w:p>
    <w:p>
      <w:r>
        <w:rPr>
          <w:b/>
        </w:rPr>
        <w:t xml:space="preserve">Quelle: </w:t>
      </w:r>
      <w:r>
        <w:t>https://mcp.opencaselaw.ch/entscheid/bvger_F-265_2020</w:t>
      </w:r>
    </w:p>
    <w:p>
      <w:r>
        <w:t>FR: TAF F-265/2020 du 2 mars 2020</w:t>
      </w:r>
    </w:p>
    <w:p>
      <w:r>
        <w:t>IT: TAF F-265/2020 del 2 marzo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L'hôte en Suisse, qui a pris part à la procédure devant l'autorité inférieure, a qualité pour recourir (art. 48 PA). Interjeté dans la forme et les délais prescrits par la loi, le recours est par conséquent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F-1649/2018 du 8 mai 2019 consid. 4.1, et réf. cit.). Cela étant,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ou de droit à l'octroi d'un visa (cf. ATAF 2014/1 consid. 4.1.1 et 4.1.5 et ATAF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1- 52],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 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3.3</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En tant que ressortissante rwandaise, l'intéressée est soumise à une telle obligation.</w:t>
      </w:r>
    </w:p>
    <w:p>
      <w:r>
        <w:rPr>
          <w:b/>
        </w:rPr>
        <w:t>E. 4</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 Cette manière de procéder repose donc sur des critères objectifs et ne saurait être contraire au principe de l'égalité de traitement.</w:t>
      </w:r>
    </w:p>
    <w:p>
      <w:r>
        <w:rPr>
          <w:b/>
        </w:rPr>
        <w:t>E. 5.1</w:t>
      </w:r>
    </w:p>
    <w:p>
      <w:r>
        <w:t>S'agissant de l'Eswatini, il appert que le produit intérieur brut (PIB) par habitant a été calculé à 3'224 USD en 2017, demeurant ainsi en dessous des standards européens. D'autre part, l'indice de développement humain (IDH), qui prend en compte la santé, l'éducation et le revenu des personnes, classait l'Eswatini en 144e position sur 189 Etats en 2018. Enfin, L'Eswatini, qui est classé 112/190 dans le classement Doing Business de la Banque Mondiale, conserve un fort niveau de pauvreté (63 %) avec des inégalités de revenus importantes et un taux de chômage de 41 % (cf. site du ministère français de la diplomatie https://www.diplomatie.gouv.fr/fr/dossiers-pays/eswatini/presentation-d-eswatini/ consulté en février 2020). Sur le plan sécuritaire, le Département fédéral des affaires étrangères(ci-après : le DFAE) n'exclut pas un risque d'attentats terroristes. En effet, bien que la situation politique soit calme, certaines tensions persistent et pourraient se traduire par des manifestations et des grèves. De plus, les rassemblements étant interdits, on peut s'attendre à ce que la police fasse usage de la force pour mettre fin aux manifestations (cf. site du DFAE : www.eda.admin.ch &gt; conseils aux voyageurs &amp; représentations &gt; Eswatini&gt; Conseils aux voyageurs, mis à jour le 8 janvier 2020, consulté en février 2020).</w:t>
      </w:r>
    </w:p>
    <w:p>
      <w:r>
        <w:rPr>
          <w:b/>
        </w:rPr>
        <w:t>E. 5.2</w:t>
      </w:r>
    </w:p>
    <w:p>
      <w:r>
        <w:t>Au vu de ce qui précède, on ne saurait absolument exclure que l'intéressée puisse envisager de rester en Suisse à l'échéance de la durée de validité de son visa. Ce, d'autant plus qu'elle pourrait s'appuyer sur la présence de son frère pour l'aider (cf. ATAF 2014/1 consid. 6.2.2 et ATAF 2009/27 consid. 7).</w:t>
      </w:r>
    </w:p>
    <w:p>
      <w:r>
        <w:rPr>
          <w:b/>
        </w:rPr>
        <w:t>E. 5.3</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6</w:t>
      </w:r>
    </w:p>
    <w:p>
      <w:r>
        <w:t>Il convient dès lors d'examiner si la situation personnelle, familiale et professionnelle (respectivement patrimoniale) de l'intéressée plaide en faveur de sa sortie ponctuelle de Suisse (respectivement de l'Espace Schengen) au terme du séjour envisagé.</w:t>
      </w:r>
    </w:p>
    <w:p>
      <w:r>
        <w:rPr>
          <w:b/>
        </w:rPr>
        <w:t>E. 6.1</w:t>
      </w:r>
    </w:p>
    <w:p>
      <w:r>
        <w:t>Dans sa décision du 13 décembre 2019, ainsi que sa réponse du 12 février 2020, l'autorité inférieure n'a pas expliqué en détails la situation personnelle de l'intéressée. En effet, elle s'est limitée à déclarer qu'en raison de son absence de voyage antérieur dans l'Espace Schengen ainsi que de la situation socio-économique dans son pays, la sortie de l'intéressée de l'Espace Schengen n'était pas suffisamment garantie. Il fallait en outre tenir compte du fait que les autorités belges avaient refusé la délivrance d'un visa en août 2019.</w:t>
      </w:r>
    </w:p>
    <w:p>
      <w:r>
        <w:rPr>
          <w:b/>
        </w:rPr>
        <w:t>E. 6.2</w:t>
      </w:r>
    </w:p>
    <w:p>
      <w:r>
        <w:t>En l'espèce, le Tribunal observe ce qui suit. A l'instar du SEM, il faut reconnaître que la situation socio-économique régnant en Eswatini ne plaide pas forcément en faveur d'un retour de l'intéressée dans ce pays à l'échéance de la durée de validité du visa requis. Toutefois, comme relevé ci-dessus, cet élément ne saurait suffire à lui seul pour retenir dans le cas d'espèce un risque migratoire élevé. En effet, comme l'a précisé l'hôte en Suisse, sa soeur est établie de longue date en Eswatini, où elle a été reconnue réfugiée, où elle travaille depuis 2012 au même endroit et où résident encore son époux ainsi que leurs trois enfants, âgés respectivement de 14 ans, de 23 ans et de 25 ans. Il a par ailleurs fourni une explication plausible pour motiver le refus de délivrance d'un visa Schengen par les autorités belges. Cela étant, ainsi que cela ressort de l'invitation produite, l'intéressée aurait également l'occasion de retrouver en Suisse plusieurs membres de sa famille, lesquels seraient théoriquement susceptibles de la prendre en charge, en cas de poursuite de son séjour en Suisse.</w:t>
      </w:r>
    </w:p>
    <w:p>
      <w:r>
        <w:rPr>
          <w:b/>
        </w:rPr>
        <w:t>E. 6.3</w:t>
      </w:r>
    </w:p>
    <w:p>
      <w:r>
        <w:t>Au vu des éléments précités, il est difficile, en l'état du dossier, de déterminer précisément dans quelle mesure la situation personnelle et familiale de l'invitée plaide en faveur de son retour en Eswatini à l'échéance du visa requis. Cet élément est pourtant capital dans la présente affaire, de sorte que des mesures d'instruction complémentaires s'avèrent nécessaires.</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 arrêt du TAF F-570/2017 du 4 octobre 2018 consid. 12.1). Un renvoi de l'affaire à l'autorité inférieure se justifie notamment lorsque d'autres éléments de fait doivent être constatés et que la procédure d'administration des preuves s'avère trop lourde (cf. notamment Jurisprudence des autorités administratives de la Confédération [JAAC] 68.156 consid. 3c.bb ; arrêt du TAF F-5357/2016 du 15 décembre 2016 consid. 6.1). De surcroît, la réforme est inadmissible lorsque des questions pertinentes doivent être tranchées pour la première fois et que l'autorité inférieure dispose d'un certain pouvoir d'appréciation (cf. notamment ATAF 2011/42 consid. 8 ; 2010/46 consid. 4, et réf. citées). Il importe à cet égard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7.2</w:t>
      </w:r>
    </w:p>
    <w:p>
      <w:r>
        <w:t>En l'occurrence, le Tribunal de céans constate que le dossier produit est incomplet. En effet, il ne contient aucune indication sur l'époux de l'invitée, en particulier sur la profession qu'il exerce et le salaire qu'il perçoit à ce titre. Par ailleurs, le dossier ne contient pas davantage d'éléments sur l'éventuelle fortune possédée par l'intéressée et sa famille en Eswatini (que ce soit sous forme de biens mobiliers ou immobiliers). De la même manière, le Tribunal doit observer que le dossier ne contient aucun élément relatif aux 3 enfants de l'intéressée, en particulier quant à leur situation personnelle et professionnelle, soit des éléments tout aussi déterminants pour analyser l'intensité des attaches de l'invitée avec son pays de résidence. Le SEM est donc invité à approfondir la situation socio-professionnelle de l'intéressée tout comme celle de sa famille en Eswatini, en tenant également compte du fait qu'ils ont obtenu la qualité de réfugié, soit un élément éventuellement susceptible d'être un facteur de discriminations diverses et ainsi propre à encourager une volonté migratoire. Enfin, et bien que cela ne soit pas déterminant dans ce contexte, l'intéressée est également invitée à démontrer les liens de parenté l'unissant à l'hôte en Suisse dès lors que c'est en raison de ceux-là que l'invitation a été formulée. Dans ces conditions, il se justifie de renvoyer la cause à l'autorité intimée afin qu'elle procède à toutes les mesures d'instruction complémentaire utiles et nécessaires à cet effet. Ensuite, une nouvelle décision sera prise, dans laquelle l'autorité inférieure procèdera à une nouvelle analyse des risques migratoires en relation avec les nouveaux éléments en sa possession.</w:t>
      </w:r>
    </w:p>
    <w:p>
      <w:r>
        <w:rPr>
          <w:b/>
        </w:rPr>
        <w:t>E. 8</w:t>
      </w:r>
    </w:p>
    <w:p>
      <w:r>
        <w:t>Au vu de ce qui précède, le recours est admis, la décision de l'autorité intimée du 13 décembre 2019 annulée et la cause renvoyée à cette autorité pour complément d'instruction et nouvelle décision dans le sens des considérants (art. 61 al. 1 in fine PA).</w:t>
      </w:r>
    </w:p>
    <w:p>
      <w:r>
        <w:rPr>
          <w:b/>
        </w:rPr>
        <w:t>E. 8.1</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w:t>
      </w:r>
    </w:p>
    <w:p>
      <w:r>
        <w:rPr>
          <w:b/>
        </w:rPr>
        <w:t>E. 8.2</w:t>
      </w:r>
    </w:p>
    <w:p>
      <w:r>
        <w:t>Il convient par ailleurs d'allouer au recourant, qui est représenté par un avocat, une indemnité équitable à titre de dépens pour les frais « indispensables » et relativement élevés occasionnés par la procédure de recours (cf. art. 64 al. 1 PA, en relation avec l'art. 7 al. 1 et al. 4 du règlement du 21 février 2008 concernant les frais, dépens et indemnités fixés par le Tribunal administratif fédéral [FITAF, RS 173.320.2]). En l'absence de note de frais, l'indemnité due est fixée sur la base du dossier (cf. art. 14 al. 2 FITAF).</w:t>
      </w:r>
    </w:p>
    <w:p>
      <w:r>
        <w:rPr>
          <w:b/>
        </w:rPr>
        <w:t>E. 8.3</w:t>
      </w:r>
    </w:p>
    <w:p>
      <w:r>
        <w:t>Au regard de l'ensemble des circonstances, l'indemnité à titre de dépens pour les frais « indispensables » à la défense des intérêts du recourant est fixée ex aequo et bono, à 500 francs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