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F-2646/2024 vom 8. Mai 2024</w:t>
      </w:r>
    </w:p>
    <w:p>
      <w:r>
        <w:t>Bundesverwaltungsgericht, 2024-05-08, FR</w:t>
      </w:r>
    </w:p>
    <w:p>
      <w:r>
        <w:rPr>
          <w:b/>
        </w:rPr>
        <w:t xml:space="preserve">Quelle: </w:t>
      </w:r>
      <w:r>
        <w:t>https://mcp.opencaselaw.ch/entscheid/bvger_F-2646_2024</w:t>
      </w:r>
    </w:p>
    <w:p>
      <w:r>
        <w:t>FR: TAF F-2646/2024 du 8 mai 2024</w:t>
      </w:r>
    </w:p>
    <w:p>
      <w:r>
        <w:t>IT: TAF F-2646/2024 del 8 maggio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LAsi[RS 142.31], en relation avec l'art. 6 LAsi et l'art. 83 let. d ch. 1 LTF), exception non réalisée en l'espèce.</w:t>
      </w:r>
    </w:p>
    <w:p>
      <w:r>
        <w:rPr>
          <w:b/>
        </w:rPr>
        <w:t>E. 1.2</w:t>
      </w:r>
    </w:p>
    <w:p>
      <w:r>
        <w:t>La procédure devant le Tribunal est régie par la PA, pour autant que ni la LTAF, ni la LAsi n'en disposent autrement (cf. art. 6 LAsi et art. 37 LTAF).</w:t>
      </w:r>
    </w:p>
    <w:p>
      <w:r>
        <w:rPr>
          <w:b/>
        </w:rPr>
        <w:t>E. 1.3</w:t>
      </w:r>
    </w:p>
    <w:p>
      <w:r>
        <w:t>La recourante a qualité pour recourir (cf. art. 48 al. 1 PA, applicable par renvoi de l'art. 37 LTAF). Présenté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3</w:t>
      </w:r>
    </w:p>
    <w:p>
      <w:r>
        <w:t>Saisi d'un recours contre une décision de non-entrée en matière sur une demande d'asile, le Tribunal se limite à examiner le bien-fondé d'une telle décision (cf. ATAF 2017 VI/5 consid.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(cf. art. 1 et 29a al. 1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 2017 VI/5 consid. 6.2]).</w:t>
      </w:r>
    </w:p>
    <w:p>
      <w:r>
        <w:rPr>
          <w:b/>
        </w:rPr>
        <w:t>E. 3.2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3.3</w:t>
      </w:r>
    </w:p>
    <w:p>
      <w:r>
        <w:t>Dans une procédure de reprise en charge (en anglais : take back), il n'y a en principe aucun nouvel examen de la compétence selon le chapitre III du règlement Dublin III (cf. ATAF 2019 VI/7 consid. 6.4.1.1). L'Etat responsable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rPr>
          <w:b/>
        </w:rPr>
        <w:t>E. 3.4</w:t>
      </w:r>
    </w:p>
    <w:p>
      <w:r>
        <w:t>En l'espèce, les investigations entreprises par le SEM, à travers la consultation de l'unité centrale du système européen « Eurodac », ont révélé que l'intéressée avait déposé une demande d'asile en Finlande en date du 13 septembre 2022. Fondé sur cette information et les déclarations de l'intéressée durant son entretien, le SEM a soumis aux autorités finlandaises une requête aux fins de la reprise en charge de l'intéressée, en vertu de l'art. 18 par. 1 let. b du règlement Dublin III, le 10 avril 2024 (soit dans le délai fixé à l'art. 23 par. 2 RD III). Le 11 avril 2024 (soit dans le respect du délai de l'art. 25 par. 1 RD III), la Finlande a accepté cette requête en se fondant sur cette même disposition, reconnaissant ainsi expressément sa compétence pour poursuivre la procédure d'asile de la recourante. L'intéressée ne conteste pas la compétence de la Finlande dans son recours, mais s'oppose à son transfert vers ce pays pour d'autres motifs.</w:t>
      </w:r>
    </w:p>
    <w:p>
      <w:r>
        <w:rPr>
          <w:b/>
        </w:rPr>
        <w:t>E. 4</w:t>
      </w:r>
    </w:p>
    <w:p>
      <w:r>
        <w:t>A l'appui de son recours, l'intéressée a exposé qu'elle ne voulait pas retourner en Finlande, du fait qu'elle n'y était restée que quelques jours et qu'elle ignorait qu'elle y avait requis l'asile. Elle a aussi invoqué son état de santé, qui était « très fragile », et la présence de son fiancé en Suisse, qui vivait à X._______, au bénéfice d'un permis de séjour (B). Elle a précisé qu'ils avaient déjà commencé les démarches pour se marier. Son transfert violerait ainsi son droit à la famille et passer du temps avec son fiancé était la seule chose qui améliorait son état mental.</w:t>
      </w:r>
    </w:p>
    <w:p>
      <w:r>
        <w:rPr>
          <w:b/>
        </w:rPr>
        <w:t>E. 4.1</w:t>
      </w:r>
    </w:p>
    <w:p>
      <w:r>
        <w:t>Il sied tout d'abord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4.2</w:t>
      </w:r>
    </w:p>
    <w:p>
      <w:r>
        <w:t>Il n'y a, en outre, aucune raison sérieuse de croire qu'il existe, en Finlande,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L'intéressée ne s'en prévaut du reste pas à l'appui de son recours. Une application de l'art. 3 par. 2 al. 2 du règlement Dublin III ne se justifie dès lors pas dans le cas d'espèce (cf., dans le même sens, arrêts du TAF E-4730/2022 du 25 octobre 2022 ; F-5272/2019 du 17 octobre 2019).</w:t>
      </w:r>
    </w:p>
    <w:p>
      <w:r>
        <w:rPr>
          <w:b/>
        </w:rPr>
        <w:t>E. 5.1</w:t>
      </w:r>
    </w:p>
    <w:p>
      <w:r>
        <w:t>Aux termes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5.2</w:t>
      </w:r>
    </w:p>
    <w:p>
      <w:r>
        <w:t>Concernant l'état de santé de l'intéressée, le Tribunal estime que celui-ci ne constitue pas un obstacle à un transfert vers la Finlande, pays qui dispose d'une infrastructure médicale suffisante pour assurer une prise en charge, notamment sur le plan psychologique, si cela devait s'avérer nécessaire. Bien que le médecin eût conseillé à la recourante de passer plus de temps avec son fiancé, afin d'éviter la solitude et une péjoration de son état dépressif, cette circonstance ne saurait suffire à s'opposer à un transfert vers l'Etat Dublin responsable. Rien n'empêche en effet l'intéressée de conserver, à son retour sur le territoire finlandais, des contacts réguliers avec son fiancé par le biais des moyens de communication modernes.</w:t>
      </w:r>
    </w:p>
    <w:p>
      <w:r>
        <w:rPr>
          <w:b/>
        </w:rPr>
        <w:t>E. 5.3</w:t>
      </w:r>
    </w:p>
    <w:p>
      <w:r>
        <w:t>La recourante s'est également prévalue d'une violation de son droit à la famille, invoquant le fait qu'elle et son fiancé avaient déjà commencé des démarches pour se marier. Cela étant, l'intéressée ne peut pas se prévaloir de l'art. 8 CEDH, sous l'angle de la protection de la vie familiale, pour s'opposer à son transfert vers la Finlande, dès lors que son mariage n'apparaît pas imminent (cf. ATF 144 I 266 consid. 2.5 ; 137 I 351 consid. 3.2). Par ailleurs, l'intéressée n'a pas non plus démontré entretenir avec son fiancé une relation qui, par sa nature et son intensité, pourrait être assimilée à une véritable union conjugale (cf. arrêts du TF 2C_72/2019 du 7 juin 2019 consid. 6.1 ; 2C_162/2018 du 25 mai 2018 consid. 4.1). Lors de son entretien Dublin, l'intéressée a déclaré avoir rencontré son fiancé via Facebook et lui avoir parlé depuis le Sri Lanka. Elle l'avait vu une fois physiquement à Paris et une nouvelle fois en Suisse durant le week-end. Dans ses conditions, il peut être attendu de la recourante qu'elle poursuive les démarches relatives à la procédure préparatoire au mariage depuis l'étranger.</w:t>
      </w:r>
    </w:p>
    <w:p>
      <w:r>
        <w:rPr>
          <w:b/>
        </w:rPr>
        <w:t>E. 5.4</w:t>
      </w:r>
    </w:p>
    <w:p>
      <w:r>
        <w:t>Au vu de ce qui précède, le transfert de la recourante vers la Finlande n'est pas contraire aux obligations de la Suisse découlant de ses obligations internationales. Par ailleurs, il ne peut être reproché à l'autorité inférieure de n'avoir pas tenu compte d'éléments importants lors de l'examen de la clause de souveraineté de l'art. 29a al. 3 OA 1, en lien avec l'art. 17 par. 1 RD III, ou d'en avoir fait une application contraire au droit ou aux principes constitutionnels fondamentaux, en particulier l'interdiction de l'arbitraire, l'égalité de traitement et la proportionnalité.</w:t>
      </w:r>
    </w:p>
    <w:p>
      <w:r>
        <w:rPr>
          <w:b/>
        </w:rPr>
        <w:t>E. 6</w:t>
      </w:r>
    </w:p>
    <w:p>
      <w:r>
        <w:t>Au regard de l'ensemble des éléments qui précèdent, c'est à bon droit que le SEM n'est pas entré en matière sur la demande d'asile de l'intéressée, en application de l'art. 31a al. 1 let. b LAsi, et qu'il a prononcé son transfert vers la Finlande. Le recours est, partant, rejeté.</w:t>
      </w:r>
    </w:p>
    <w:p>
      <w:r>
        <w:rPr>
          <w:b/>
        </w:rPr>
        <w:t>E. 7.1</w:t>
      </w:r>
    </w:p>
    <w:p>
      <w:r>
        <w:t>S'avérant manifestement infondé, le présent recours est examiné dans une procédure à juge unique, avec l'approbation d'un second juge (art. 111 let. e LAsi). Il est renoncé à un échange d'écritures et l'arrêt n'est motivé que sommairement (cf. art. 111a al. 1 et 2 LAsi).</w:t>
      </w:r>
    </w:p>
    <w:p>
      <w:r>
        <w:rPr>
          <w:b/>
        </w:rPr>
        <w:t>E. 7.2</w:t>
      </w:r>
    </w:p>
    <w:p>
      <w:r>
        <w:t>Dans la mesure où il a été immédiatement statué sur le fond, les requêtes d'octroi de l'effet suspensif et d'exemption du paiement d'une avance de frais sont sans objet. Les mesures superprovisionnelles prononcées par ordonnance du 30 avril 2024 deviennent caduques.</w:t>
      </w:r>
    </w:p>
    <w:p>
      <w:r>
        <w:rPr>
          <w:b/>
        </w:rPr>
        <w:t>E. 7.3</w:t>
      </w:r>
    </w:p>
    <w:p>
      <w:r>
        <w:t>Les conclusions du recours étant d'emblée vouées à l'échec, la requête d'assistance judiciaire est rejetée.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