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F-2628/2020 vom 29. Mai 2020</w:t>
      </w:r>
    </w:p>
    <w:p>
      <w:r>
        <w:t>Bundesverwaltungsgericht, 2020-05-29, DE</w:t>
      </w:r>
    </w:p>
    <w:p>
      <w:r>
        <w:rPr>
          <w:b/>
        </w:rPr>
        <w:t xml:space="preserve">Quelle: </w:t>
      </w:r>
      <w:r>
        <w:t>https://mcp.opencaselaw.ch/entscheid/bvger_F-2628_2020</w:t>
      </w:r>
    </w:p>
    <w:p>
      <w:r>
        <w:t>FR: TAF F-2628/2020 du 29 mai 2020</w:t>
      </w:r>
    </w:p>
    <w:p>
      <w:r>
        <w:t>IT: TAF F-2628/2020 del 29 maggio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w:t>
      </w:r>
    </w:p>
    <w:p>
      <w:r>
        <w:t>Ein Abgleich mit der europäischen Fingerabdruck-Datenbank (Zentraleinheit Eurodac) ergab, dass die Beschwerdeführerin am 23. Dezember 2019 in Italien aufgegriffen worden war und dort am 28. Dezember 2019 ein Asylgesuch gestellt hatte. Das SEM ersuchte deshalb die italienischen Behörden am 19. Februar 2020 um Übernahme der Beschwerdeführerin im Sinne von Art. 18 Abs. 1 Bst. b Dublin-III-VO. Die italienischen Behörden hiessen das Ersuchen am 3. März 2020 gut. Vor diesem Hintergrund ist die Zuständigkeit Italiens zur Durchführung des Asyl- und Wegweisungsverfahrens gegeben.</w:t>
      </w:r>
    </w:p>
    <w:p>
      <w:r>
        <w:rPr>
          <w:b/>
        </w:rPr>
        <w:t>E. 4.1</w:t>
      </w:r>
    </w:p>
    <w:p>
      <w:r>
        <w:t>Auf Beschwerdeebene wird im Wesentlichen geltend gemacht, dieVorinstanz habe es vorliegend unterlassen, den medizinischen Sachverhalt abzuklären. Aufgrund der Schilderungen und des Verhaltens der Beschwerdeführerin während des Dublin-Gesprächs sei es offensichtlich gewesen, dass sie mit grösster Wahrscheinlichkeit auf psychologische Betreuung angewiesen sei, was auch die Rechtsvertretung umgehend beantragt habe. Die Vorinstanz habe die notwendigen Schritte nicht veranlasst und dies damit begründet, dass die Beschwerdeführerin sich deswegen nicht bei der Pflege in der ihr zugewiesenen Unterkunft gemeldet habe. Diese Begründung überzeuge nicht, weil von ihr nicht erwartet werden könne, dass sie sich in ihrer emotionalen Notlage selbst aktiv um notwendige Versorgung bemühe. Da es sich bei der Beschwerdeführerin mit grösster Wahrscheinlichkeit um eine vulnerable Person handle, welche auf medizinische Versorgung angewiesen sei, hätte sich die Vorinstanz im Sinne des Referenzurteils des Bundesverwaltungsgerichts E-962/2019 vom 17. Dezember 2019 darum bemühen müssen, entsprechende Zusicherungen von den italienischen Behörden einzuholen. Bezüglich des fehlenden Zugangs zur Gesundheitsversorgung werde auch auf den neusten Bericht der Schweizerischen Flüchtlingshilfe (SFH) vom Januar 2020 verwiesen, wonach zu wenig und nicht angemessene Aufnahmestrukturen sowie keine genügende medizinische Versorgung für Personen mit psychischen Problemen vorhanden seien.Im Weiteren sei anzumerken, dass die Vorinstanz die Vulnerabilität der Beschwerdeführerin in der Anfrage vom 19. Februar 2020 mit keinem Wort erwähnt habe. Abgesehen davon habe sie sich nur oberflächlich mit der Möglichkeit eines allfälligen Selbsteintritts auseinandergesetzt. Die diesbezüglichen Erläuterungen beschränkten sich auf textbausteinartige Ausführungen, welche der tatsächlichen Situation der Beschwerdeführerin nicht gerecht würden. So sei nicht angemessen berücksichtigt worden, dass sie mit grösster Wahrscheinlichkeit traumatische Erfahrungen gemacht habe und auf psychologische Unterstützung angewiesen sei. Auch aufgrund ihres jugendlichen Alters sei anzunehmen, dass ihr in der Schweiz wohnhafter Bruder wohl eine grosse Stütze für sie wäre.</w:t>
      </w:r>
    </w:p>
    <w:p>
      <w:r>
        <w:rPr>
          <w:b/>
        </w:rPr>
        <w:t>E. 4.2</w:t>
      </w:r>
    </w:p>
    <w:p>
      <w:r>
        <w:t>Mit ihren Vorbringen fordert die Beschwerdeführerin die Anwendung von Art. 17 Abs. 1 Dublin-III-VO respektive Art. 29a Abs. 3 der Asylverordnung 1 vom 11. August 1999 (AsylV 1, SR 142.311).</w:t>
      </w:r>
    </w:p>
    <w:p>
      <w:r>
        <w:rPr>
          <w:b/>
        </w:rPr>
        <w:t>E. 5.1</w:t>
      </w:r>
    </w:p>
    <w:p>
      <w:r>
        <w:t>Italien ist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Die Beschwerdeführerin hat kein konkretes und ernsthaftes Risiko dargetan, die italienischen Behörden würden sich weigern, sie wieder aufzunehmen und ihren Antrag auf internationalen Schutz unter Einhaltung der Regeln der Verfahrensrichtlinie zu prüfen. Den Akten sind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Die Vermutung, Italien halte seine völkerrechtlichen Verpflichtungen ein, kann im Einzelfall widerlegt werden. Wie soeben erwähnt, bedarf es hierfür aber konkreter und ernsthafter Hinweise, die gegebenenfalls vom Betroffenen glaubhaft darzutun sind (vgl. Urteil des BVGer E-937/2020 vom 24. Februar 2020 E. 5.4 m.H.).</w:t>
      </w:r>
    </w:p>
    <w:p>
      <w:r>
        <w:rPr>
          <w:b/>
        </w:rPr>
        <w:t>E. 5.3</w:t>
      </w:r>
    </w:p>
    <w:p>
      <w:r>
        <w:t>Des Weiteren gibt es auch keine konkreten Hinweise für die Annahme, Italien würde der Beschwerdeführerin dauerhaft die ihr gemäss Aufnahmerichtlinie zustehenden minimalen Lebensbedingungen vorenthalten. Das italienische Fürsorgesystem für Asylsuchende und Personen mit Schutzstatus steht zwar in der Kritik, das Bundesverwaltungsgericht ist aber im Referenzurteil E-962/2019 vom 17. Dezember 2019 zum Schluss gelangt, auch nach Erlass und Umsetzung des «Salvini-Dekrets» sei gegenwärtig das Vorliegen systemischer Schwachstellen im Sinne von Art. 3 Abs. 2 Satz 2 Dublin-III-VO, welche die staatliche Unterstützung Italiens und dessen Einrichtungen für Asylsuchende betreffen, zu verneinen (vgl. ausführlich E. 6.1 - 6.4). Diese Einschätzung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F-2009/2020 vom 24. April 2020 E. 8.3 oder F-762/2020 vom 18. Februar 2020 S. 5). Vor diesem Hintergrund vermag die Beschwerdeführerin aus dem Bericht der SFH vom Januar 2020 nichts zu ihren Gunsten abzuleiten.</w:t>
      </w:r>
    </w:p>
    <w:p>
      <w:r>
        <w:rPr>
          <w:b/>
        </w:rPr>
        <w:t>E. 5.4.1</w:t>
      </w:r>
    </w:p>
    <w:p>
      <w:r>
        <w:t>Wie sich der jüngsten Rückmeldung des Pflegepersonals im Bun-desasylzentrum vom 6. Mai 2020 (vgl. SEM-act. 1060389-20/2) auf die Fragen des SEM hin, ob neue ärztliche Dokumente/Atteste/Medizinalakten vorliegen würden und die Pilzinfektion mittlerweile habe geheilt werden können, entnehmen lässt, hat sich die Beschwerdeführerin seit ihrem Aufenthalt im Bundesasylzentrum insgesamt fünf Mal bei K._______ wegen Hautveränderungen oder Juckreiz gemeldet. Äusserlich sei nicht viel erkennbar. Die Beschwerdeführerin hätte am 26. März 2020 einen Termin beim Heimarzt gehabt, sei allerdings ferngeblieben. Seither habe es keine Möglichkeit für Arztvisiten gegeben. Sollte sich die Beschwerdeführerin betreffend ihre Hautprobleme wieder melden, werde man sie auf die Arztvisite nehmen. Da die Beschwerdeführerin wegen ihrer Hautprobleme mehrmals medizinische Hilfe in Anspruch genommen hat, hätte von ihr - entgegen anderslautender Einschätzung - ebenso erwartet werden dürfen, sich selbstständig um psychologische Unterstützung zu bemühen. Stattdessen hat sie weder gegenüber dem Pflegepersonal einen entsprechenden Wunsch geäussert (vgl. Sachverhalt, Bst. C) noch den Arzttermin vom 26. März 2020 wahrgenommen. Bei dieser Sachlage war das SEM nicht gehalten, weitere Abklärungen zu treffen, weshalb die Rüge der mangelhaften Sachverhaltsermittlung unbegründet ist.</w:t>
      </w:r>
    </w:p>
    <w:p>
      <w:r>
        <w:rPr>
          <w:b/>
        </w:rPr>
        <w:t>E. 5.4.2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5.4.3</w:t>
      </w:r>
    </w:p>
    <w:p>
      <w:r>
        <w:t>Eine solche Situation ist vorliegend aufgrund der aktenkundigen und geschilderten gesundheitlichen Beeinträchtigungen nicht gegeben. Die Beschwerdeführerin konnte nicht nachweisen, dass eine Überstellung ihre Gesundheit ernsthaft gefährden würde. Ihr Gesundheitszustand vermag eine Unzulässigkeit im Sinne der erwähnten restriktiven Rechtsprechung nicht zu rechtfertigen. Die medizinischen Probleme sind auch nicht von einer derartigen Schwere, dass aus humanitären Gründen von einer Überstellung abgesehen werden müsste. Vor diesem Hintergrund gilt die Beschwerdeführerin nicht als vulnerable Person im Sinne des Referenzurteils E-962/2019 vom 17. Dezember 2019 E. 7.4.3 (vgl. diesbzgl. auch das Urteil F-1268/2020 vom 12. März 2020 S. 6), sodass bei ihr keine individuelle Garantieerklärung der italienischen Behörden hinsichtlich Unterbringung und medizinischer Behandlung einzuholen ist (vgl. zitiertes Referenzurteil E-962/2019 E. 7.4 und 8). Der entsprechende Subeventualantrag ist folglich abzuweisen. Auch aus dem Bericht der SFH vom Januar 2020 kann die Beschwerdeführerin unter diesen Umständen nichts für sich ableiten.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gilt darauf hinzuweisen, dass Italien grundsätzlich über eine ausreichende medizinische Infrastruktur verfügt (vgl. Urteil des BVGer F-2009/2020 vom 24. April 2020 E. 8.7 m.H.). Es liegen keine Anhaltspunkte vor, wonach der Beschwerdeführerin dort eine adäquate medizinische Behandlung verweigert würde. Der Zugang für asylsuchende Personen zum italienischen Gesundheitssystem über die Notversorgung hinaus ist derzeit grundsätzlich gewährleistet, auch wenn es in der Praxis zu zeitlichen Verzögerungen kommen kann (Urteil E-962/2019 E. 6.2.7). Im Hinblick auf die vorgenannten Ausführungen darf davon ausgegangen werden, die Beschwerdeführerin finde bezüglich ihrer gesundheitlichen Beeinträchtigungen Zugang zu entsprechender medizinischer Versorgung, sollte sie auf solche angewiesen sein. Im Weiteren ist hervorzuheben, dass die mit der Überstellung beauftragten Behörden die besonderen Bedürfnisse der Beschwerdeführerin - einschliesslich die der notwendigen medizinischen Versorgung, auch in Bezug auf die Corona-Problematik - berücksichtigen würden, falls dies erforderlich sein sollte (vgl. Art. 31 Abs. 2 Dublin-III-VO). So hat die Vorinstanz in der angefochtenen Verfügung festgehalten, die Reisefähigkeit werde erst kurz vor der Überstellung definitiv beurteilt. Ebenso hat die Vorinstanz dem Gesundheitszustand der Beschwerdeführerin bei der Organisation der Überstellung nach Italien Rechnung zu tragen, indem sie die italienischen Behörden im Sinne von Art. 31 und Art. 32 Dublin-III-VO vorgängig über den Gesundheitszustand und die notwendige medizinische Behandlung zu informieren hat. Vor diesem Hintergrund vermag die Beschwerdeführerin aus ihrem Vorwurf, das SEM habe ihre Vulnerabilität im Übernahmeersuchen vom 19. Februar 2020 an die italienischen Behörden unerwähnt gelassen, nichts für sich abzuleiten.</w:t>
      </w:r>
    </w:p>
    <w:p>
      <w:r>
        <w:rPr>
          <w:b/>
        </w:rPr>
        <w:t>E. 5.5</w:t>
      </w:r>
    </w:p>
    <w:p>
      <w:r>
        <w:t>Der Wunsch der Beschwerdeführerin nach einem Verbleib bei ihrem Bruder, der hierzulande als anerkannter Flüchtling über eine Aufenthaltsbewilligung B verfügt (vgl. Einträge im Zentralen Migrationsinformationssystem [ZEMIS]), ist zwar durchaus nachvollziehbar. Sie kann daraus jedoch nichts zu ihren Gunsten ableiten, zumal Geschwister nicht als Familienangehörige im Sinne von Art. 2 Bst. g Dublin-III-VO gelten. Im Übrigen ist aus den Akten kein besonderes Abhängigkeitsverhältnis ersichtlich, welches einer Überstellung nach Italien entgegenstehen würde. Der Onkel mütterlicherseits, den die Beschwerdeführerin als weitere Bezugsperson in der Schweiz erwähnte, ist im ZEMIS bei ihren Personendaten unter der Rubrik "Beziehungen" nicht registriert. Es würde sich aber auch bei ihm nicht um einen Familienangehörigen gemäss Art. 2 Bst. g Dublin-III-VO handeln.</w:t>
      </w:r>
    </w:p>
    <w:p>
      <w:r>
        <w:rPr>
          <w:b/>
        </w:rPr>
        <w:t>E. 5.6</w:t>
      </w:r>
    </w:p>
    <w:p>
      <w:r>
        <w:t>Das SEM führte im angefochtenen Entscheid aus, in Würdigung der Akten und der von der Beschwerdeführerin geäusserten Umstände bestünden keine Gründe, die die Schweiz veranlassen würden, die Souveränitätsklausel anzuwenden. Es hat diesen Umständen in der Verfügung Rechnung getragen und sich insbesondere auch mit der gesundheitlichen Situation der Beschwerdeführerin hinreichend auseinandergesetzt. Vor diesem Hintergrund läuft der Vorhalt, wonach sich das SEM auf textbausteinartige Ausführungen beschränke, ins Leere und es erübrigt sich, die angefochtene Verfügung zur vollständigen Feststellung des Sachverhalts an die Vor-instanz zurückzuweisen, weshalb der entsprechende Eventualantrag abzuweisen ist.</w:t>
      </w:r>
    </w:p>
    <w:p>
      <w:r>
        <w:rPr>
          <w:b/>
        </w:rPr>
        <w:t>E. 5.7</w:t>
      </w:r>
    </w:p>
    <w:p>
      <w:r>
        <w:t>Mit ihrer Rechtsmittelbegründung kann die Beschwerdeführerin insgesamt nicht das gewünschte Verfahrensziel - die Behandlung ihres Asylgesuchs in der Schweiz - erreichen, zumal die Dublin-III-Verordnung den Schutzsuchenden kein Recht einräumt, den ihren Antrag prüfenden Staat selbst auszuwählen. Es sind ebenso keine Gründe ersichtlich, welche die Vorinstanz zu einem Selbsteintritt gemäss Art. 17 Dublin-III-VO beziehungsweise Art. 29a Abs. 3 AsylV 1 hätten verpflichten können.</w:t>
      </w:r>
    </w:p>
    <w:p>
      <w:r>
        <w:rPr>
          <w:b/>
        </w:rPr>
        <w:t>E. 6</w:t>
      </w:r>
    </w:p>
    <w:p>
      <w:r>
        <w:t>Die Vorinstanz ist angesichts der vorstehenden Erwägungen zu Recht und ohne Ermessensfehler auf das Asylgesuch der Beschwerdeführerin nicht eingetreten und hat ihre Wegweisung verfügt (vgl. Art. 31a Abs. 1 Bst. b und Art. 44 AsylG). Die Beschwerde ist folglich abzuweisen.</w:t>
      </w:r>
    </w:p>
    <w:p>
      <w:r>
        <w:rPr>
          <w:b/>
        </w:rPr>
        <w:t>E. 7</w:t>
      </w:r>
    </w:p>
    <w:p>
      <w:r>
        <w:t>Mit dem vorliegenden Urteil in der Hauptsache sind die Gesuche um Erteilung der aufschiebenden Wirkung und um Verzicht auf die Erhebung eines Kostenvorschusses gegenstandslos geworden. Der am 22. Mai 2020 angeordnete Vollzugsstopp fällt mit vorliegendem Urteil dahin und die Vorinstanz hat der Beschwerdeführerin eine neue Frist zur Ausreise anzusetzen.</w:t>
      </w:r>
    </w:p>
    <w:p>
      <w:r>
        <w:rPr>
          <w:b/>
        </w:rPr>
        <w:t>E. 8.1</w:t>
      </w:r>
    </w:p>
    <w:p>
      <w:r>
        <w:t>Die Begehren waren - wie sich aus den oben stehenden Erwägungen ergibt - als aussichtslos zu bezeichnen, weshalb das Gesuch um Gewährung der unentgeltlichen Prozessführung gemäss Art. 65 Abs. 1 VwVG unbesehen der geltend gemachten Bedürftigkeit abzuweisen ist.</w:t>
      </w:r>
    </w:p>
    <w:p>
      <w:r>
        <w:rPr>
          <w:b/>
        </w:rPr>
        <w:t>E. 8.2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