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F-2625/2026 vom 20. April 2026</w:t>
      </w:r>
    </w:p>
    <w:p>
      <w:r>
        <w:t>Bundesverwaltungsgericht, 2026-04-20, DE</w:t>
      </w:r>
    </w:p>
    <w:p>
      <w:r>
        <w:rPr>
          <w:b/>
        </w:rPr>
        <w:t xml:space="preserve">Quelle: </w:t>
      </w:r>
      <w:r>
        <w:t>https://mcp.opencaselaw.ch/entscheid/bvger_F-2625_2026</w:t>
      </w:r>
    </w:p>
    <w:p>
      <w:r>
        <w:t>FR: TAF F-2625/2026 du 20 avril 2026</w:t>
      </w:r>
    </w:p>
    <w:p>
      <w:r>
        <w:t>IT: TAF F-2625/2026 del 20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 Die Prüfung von materiellen Asylgründen ist hingegen nicht Gegenstand eines solchen Verfahrens.</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Dublin-III-VO grundsätzlich Litauen für die Behandlung des Asylgesuchs des Beschwerdeführers zuständig ist, dass das litauische Asylsystem rechtsprechungsgemäss keine systemischen Mängel aufweist, aufgrund derer die Zuständigkeit gemäss Art. 3 Abs. 2 Dublin-III-VO auf die Schweiz überginge (vgl. jüngst Urteile des BVGer F-1430/2026 vom 6. März 2026 E. 2.1; F-6759/2025 vom 15. September 2025 E. 2.1; F-5435/2025 vom 24. Juli 2025 E. 4.2), und dass vorliegend keine völkerrechtlichen Vollzugshindernisse ersichtlich sind, welche die Schweiz zu einem Selbsteintritt nach Art. 17 Abs. 1 Dublin-III-VO verpflichten würden. Dabei hat sie insbesondere die gesundheitlichen Probleme des Beschwerdeführers berücksichtigt und rechtsprechungskonform gewürdigt und richtigerweise darauf hingewiesen, dass Litauen über eine ausreichende medizinische Infrastruktur verfügt (vgl. statt vieler Urteil F-6759/2025 E. 2.1). Darüber hinaus hat die Vorinstanz in rechtsfehlerfreier Ausübung des ihr nach Art. 17 Abs. 1 Dublin-III-VO und Art. 29a Abs. 3 AsylV 1 zukommenden Ermessens von einem freiwilligen Selbsteintritt der Schweiz abgesehen. Sie ist demnach zu Recht in Anwendung von Art. 31a Abs. 1 Bst. b AsylG auf das Asylgesuch des Beschwerdeführers nicht eingetreten und hat in Anwendung von Art. 44 AsylG seine Wegweisung nach Litauen angeordnet. Zur näheren Begründung wird auf die Erwägungen der Vorinstanz verwiesen.</w:t>
      </w:r>
    </w:p>
    <w:p>
      <w:r>
        <w:rPr>
          <w:b/>
        </w:rPr>
        <w:t>E. 2.2</w:t>
      </w:r>
    </w:p>
    <w:p>
      <w:r>
        <w:t>Was der Beschwerdeführer auf Rechtsmittelebene vorbringt, vermag nichts an der Richtigkeit der angefochtenen Verfügung zu ändern. Insbesondere kann er aus dem Umstand, dass er angeblich in seinem Herkunftsland Aserbaidschan von den Behörden verfolgt wird, nichts zu seinen Gunsten ableiten, da er nicht nach Aserbaidschan, sondern nach Litauen überstellt wird, wo er sich eigenen Angaben zufolge bereits die letzten 12 Jahre aufgehalten hat. In Verneinung systemischer Mängel in Litauen erübrigen sich Weiterungen zur geltend gemachten Gefahr einer allfälligen Kettenabschiebung (einlässlich dazu Urteil des EuGH vom 30. November 2023, verbundene Rechtssachen C-228/21, C-254/21, C 297/21, C-315/21 und C-328/21, §§ 129-142 und Ziff. 2 des Dispositivs). Betreffend sein Vorbringen, wonach er als homosexueller Mann in Litauen erheblichen Gefahren ausgesetzt sei, ist darauf hinzuweisen, dass Litauen Signatarstaat der EMRK und Mitgliedstaat der Europäischen Union (EU) mit deren EU-Grundrechtecharta, welche Diskriminierungen aufgrund der sexuellen Orientierung verbietet, ist. Zudem verfügt Litauen über eine funktionierende Polizeibehörde. Der Beschwerdeführer kann sich - sollte er sich von Drittpersonen bedroht fühlen - an die zuständigen litauischen Behörden wenden.</w:t>
      </w:r>
    </w:p>
    <w:p>
      <w:r>
        <w:rPr>
          <w:b/>
        </w:rPr>
        <w:t>E. 2.3</w:t>
      </w:r>
    </w:p>
    <w:p>
      <w:r>
        <w:t>Soweit der Beschwerdeführer geltend macht, die Vorinstanz habe den wesentlichen Sachverhalt in Bezug auf das konkrete Risiko einer Kettenabschiebung nach Aserbaidschan nicht rechtsgenüglich abgeklärt, ist darauf hinzuweisen, dass die Vorinstanz diesbezüglich nicht zur Durchführung vertiefter Abklärungen verpflichtet war (vgl. E. 2.2 hiervor). Insgesamt hat sie den rechtserheblichen Sachverhalt hinreichend abgeklärt und die Vorbringen des Beschwerdeführers rechtsprechungskonform gewürdigt. Der Eventualantrag auf Rückweisung der Sache zur vollständigen Sachverhaltsabklärung ist abzuweisen.</w:t>
      </w:r>
    </w:p>
    <w:p>
      <w:r>
        <w:rPr>
          <w:b/>
        </w:rPr>
        <w:t>E. 2.4</w:t>
      </w:r>
    </w:p>
    <w:p>
      <w:r>
        <w:t>Angesichts der vorstehenden Ausführungen besteht kein Raum, bei den litauischen Behörden weitere Abklärungen betreffend die - hier nicht streitgegenständliche - Ausstellung eines heimatlichen Reisedokuments oder den effektiven Schutz vor einer Rückführung nach Aserbaidschan einzuholen. Der entsprechende Antrag ist abzuweisen.</w:t>
      </w:r>
    </w:p>
    <w:p>
      <w:r>
        <w:rPr>
          <w:b/>
        </w:rPr>
        <w:t>E. 3</w:t>
      </w:r>
    </w:p>
    <w:p>
      <w:r>
        <w:t>Nach dem Gesagten ist die angefochtene Verfügung nicht zu beanstanden (Art. 106 AsylG) und die Beschwerde ist abzuweisen. Mit dem vorliegenden Urteil fällt der am 15. April 2026 angeordnete Vollzugsstopp dahin. Das Gesuch um Gewährung der aufschiebenden Wirkung der Beschwerde ist mit heutigem Entscheid gegenstandslos geworden.</w:t>
      </w:r>
    </w:p>
    <w:p>
      <w:r>
        <w:rPr>
          <w:b/>
        </w:rPr>
        <w:t>E. 4</w:t>
      </w:r>
    </w:p>
    <w:p>
      <w:r>
        <w:t>Die gestellten Begehren erweisen sich allesamt als von vornherein aussichtslos, weshalb das Gesuch um Gewährung der unentgeltlichen Rechtspflege (Art. 65 Abs. 1 und 2 VwVG) ebenfalls abzuweisen ist.</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