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F-2624/2025 vom 29. April 2025</w:t>
      </w:r>
    </w:p>
    <w:p>
      <w:r>
        <w:t>Bundesverwaltungsgericht, 2025-04-29, DE</w:t>
      </w:r>
    </w:p>
    <w:p>
      <w:r>
        <w:rPr>
          <w:b/>
        </w:rPr>
        <w:t xml:space="preserve">Quelle: </w:t>
      </w:r>
      <w:r>
        <w:t>https://mcp.opencaselaw.ch/entscheid/bvger_F-2624_2025</w:t>
      </w:r>
    </w:p>
    <w:p>
      <w:r>
        <w:t>FR: TAF F-2624/2025 du 29 avril 2025</w:t>
      </w:r>
    </w:p>
    <w:p>
      <w:r>
        <w:t>IT: TAF F-2624/2025 del 29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Beschwerdeführenden bringen in ihrer Beschwerdebegründung vom 14. April 2025 zunächst vor, die Beschwerdeführerin 1 sei aufgrund ihres psychischen Zustandes und der Nebenwirkungen ihrer Medikamente bei ihrem Dublin-Gespräch am 2. April 2025 nicht in der Lage gewesen, ihre Erfahrungen und Erlebnisse frei zu schildern. Dies habe die vollständige und korrekte Erfassung ihrer Aussagen negativ beeinflussen können (BVGer-act. 1). Damit rügen die Beschwerdeführenden eine Verletzung ihres Anspruchs auf rechtliches Gehör durch die Vorinstanz. Diese formelle Rüge ist vorab zu beurteilen, da sie gegebenenfalls geeignet ist, eine Kassation der angefochtenen Verfügung zu bewirken.</w:t>
      </w:r>
    </w:p>
    <w:p>
      <w:r>
        <w:rPr>
          <w:b/>
        </w:rPr>
        <w:t>E. 2.2</w:t>
      </w:r>
    </w:p>
    <w:p>
      <w:r>
        <w:t>Gemäss Art. 29 Abs. 2 BV und Art. 29 VwVG haben die Parteien Anspruch auf rechtliches Gehör. Dieses umfasst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2009/35 E. 6.4.1 m.w.H.).</w:t>
      </w:r>
    </w:p>
    <w:p>
      <w:r>
        <w:rPr>
          <w:b/>
        </w:rPr>
        <w:t>E. 2.3</w:t>
      </w:r>
    </w:p>
    <w:p>
      <w:r>
        <w:t>Am 2. April 2025 führte die Vorinstanz mit der Beschwerdeführerin 1 in Anwesenheit ihrer damaligen Rechtsvertretung das persönliche Gespräch gemäss Art. 5 Dublin-III-VO. Das Gespräch wurde auf Albanisch geführt und dauerte inklusive Rückübersetzung durch einen Dolmetscher von 09:16 Uhr bis 10:32 Uhr. Im Rahmen des Gesprächs gab die Vorinstanz der Beschwerdeführerin 1 die Gelegenheit zur möglichen Zuständigkeit Deutschlands für das Asyl- und Wegweisungsverfahren, zu einem Nichteintretensentscheid, zur Wegweisung in diesen Dublin-Mitgliedstaat sowie zu ihrem Gesundheitszustand und dem Gesundheitszustand der Beschwerdeführer 2-4 Stellung zu nehmen. Die Beschwerdeführerin 1 gab dabei hinsichtlich ihres psychischen Gesundheitszustandes zwar an, emotional angeschlagen und mit der aktuellen Situation überfordert zu sein. Sie machte jedoch nicht geltend, dass ihre psychische Verfassung oder Nebenwirkungen von ihr eingenommener Medikamente sie daran hindern würden, sich frei zur Sache zu äussern. Auch sind entsprechende Anhaltspunkte dem Protokoll ihres Dublin-Gesprächs vom 2. April 2025 nicht ansatzweise zu entnehmen. Die Beschwerdeführerin 1 bestätigte darin mit ihrer Unterschrift, dass ihr ihre protokollierten Aussagen von ihrer Rechtsvertretung Satz für Satz vorgelesen und durch den Dolmetscher in eine ihr verständliche Sprache übersetzt worden seien, sie die Aussagen verstanden habe und das Festgehaltene ihren freien Äusserungen entspreche (SEM-act. 30/3).</w:t>
      </w:r>
    </w:p>
    <w:p>
      <w:r>
        <w:rPr>
          <w:b/>
        </w:rPr>
        <w:t>E. 2.4</w:t>
      </w:r>
    </w:p>
    <w:p>
      <w:r>
        <w:t>Damit ist der Beschwerdeführerin 1 im Rahmen des persönlichen Gesprächs gemäss Art. 5 Dublin-III-VO am 2. April 2025 ausreichend Gelegenheit gegeben worden, sich frei und umfänglich zur Sache zu äussern und ihren Standpunkt wirksam zur Geltung zu bringen. Es fehlt zudem an Anhaltspunkten, wonach sie dazu im fraglichen Zeitpunkt nicht in der Lage gewesen wäre. Eine Verletzung des Anspruchs auf rechtliches Gehör liegt nicht vor. Die formelle Rüge der Beschwerdeführenden erweist sich somit als unbegründet.</w:t>
      </w:r>
    </w:p>
    <w:p>
      <w:r>
        <w:rPr>
          <w:b/>
        </w:rPr>
        <w:t>E. 3.1</w:t>
      </w:r>
    </w:p>
    <w:p>
      <w:r>
        <w:t>Die Vorinstanz hat in der angefochtenen Verfügung vom 7. April 2025 korrekt erwogen, dass gemäss den Bestimmungen der Dublin-III-VO grundsätzlich Deutschland für die Durchführung des Asyl- und Wegweisungsverfahrens der Beschwerdeführenden zuständig ist, dass das deutsche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der Beschwerdeführenden in Hinblick auf die geltend gemachte unmenschliche Behandlung, mangelhafte Unterbringung (feuchte Kellerwohnung) und unzureichende Unterstützung der Behörden in Deutschland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der Beschwerdeführerin 1 in Deutschland der Zugang zu einer medizinischen Behandlung ihrer zuletzt mit Kurzbericht des Stadtärztlichen Dienstes der F._______ vom 28. März 2025 (SEM-act. 37/2) diagnostizierten psychischen Beschwerden (Verdacht auf akute Belastungsreaktion [Differentialverdachtsdiagnose: Anpassungsstörung]) offensteht. Sie ist demnach zu Recht in Anwendung von Art. 31a Abs. 1 Bst. b AsylG auf das Asylgesuch der Beschwerdeführenden nicht eingetreten und hat in Anwendung von Art. 44 AsylG ihre Wegweisung nach Deutschland angeordnet. Zur näheren Begründung wird auf die korrekten vorinstanzlichen Erwägungen verwiesen.</w:t>
      </w:r>
    </w:p>
    <w:p>
      <w:r>
        <w:rPr>
          <w:b/>
        </w:rPr>
        <w:t>E. 3.2.1</w:t>
      </w:r>
    </w:p>
    <w:p>
      <w:r>
        <w:t>Was die Beschwerdeführenden auf Rechtsmittelebene vorbringen, vermag daran nichts zu ändern. In der Beschwerdebegründung vom 14. April 2025 machen sie geltend, ihre Gefährdungssituation und ihre traumatischen Lebensgeschichten seien von den zuständigen Behörden im Rahmen der Asylverfahren in Deutschland aus inakzeptablen Gründen ignoriert worden. Man habe ihnen keine fairen Verfahren geboten. Besonders schwerwiegend seien dabei die Übersetzungsfehler des in Deutschland eingesetzten Dolmetschers gewesen, durch die ihre Aussagen aus dem Zusammenhang gerissen worden seien und eine andere Bedeutung erhalten hätten. Während ihres Aufenthalts in Deutschland seien sie in einem Keller ohne grundlegende hygienische Einrichtungen und mit offenen Abwasserrohren untergebracht worden. Der Beschwerdeführer 2 habe zwei Jahre lang keine Schulbildung erhalten. Seine verspätete Einschulung wirke sich negativ auf ihn aus. Zudem sei er diskriminiert und gemobbt worden. Dies habe seine psychische Gesundheit und soziale Integration beeinträchtigt. Die Beschwerdeführerin 1 leide an schweren psychischen Störungen infolge der erlittenen Traumata. In Albanien sei sie Opfer von häuslicher und geschlechtsspezifischer Gewalt durch ihren Ehemann geworden. Ihr (Ex-)Ehemann sei international zur Fahndung ausgeschrieben, lebe mittlerweile in Deutschland und bedrohe sie und die Beschwerdeführer 2-4.</w:t>
      </w:r>
    </w:p>
    <w:p>
      <w:r>
        <w:rPr>
          <w:b/>
        </w:rPr>
        <w:t>E. 3.2.2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Deutschland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als auch 2008/115/EG vom 16. Dezember 2008 über gemeinsame Normen und Verfahren in den Mitgliedstaaten zur Rückführung illegal aufhältiger Drittstaatsangehöriger (sog. Rückführungsrichtlinie) gebunden.</w:t>
      </w:r>
    </w:p>
    <w:p>
      <w:r>
        <w:rPr>
          <w:b/>
        </w:rPr>
        <w:t>E. 3.2.3</w:t>
      </w:r>
    </w:p>
    <w:p>
      <w:r>
        <w:t>Mangels systemischer Mängel im Sinne von Art. 3 Abs. 2 Dublin-III-VO kann vermutungsweise davon ausgegangen werden, dass Deutschland seinen völker- und gemeinschaftsrechtlichen Verpflichtungen gegenüber Personen in der Situation der Beschwerdeführenden nachkommt und insbesondere auch die Rechte respektiert und schützt, die sich aus der Verfahrens- und der Aufnahmerichtlinie sowie der Rückführungsrichtlinie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3.2.4</w:t>
      </w:r>
    </w:p>
    <w:p>
      <w:r>
        <w:t>Vorliegend wurden bereits Asyl- und Wegweisungsverfahren durch die deutschen Behörden durchgeführt. Da Deutschlands Asylsystem keine systemischen Mängel aufweist (vgl. oben), ist vermutungsweise davon auszugehen, dass die deutschen Behörden - in Erfüllung ihrer völkerrechtlichen Verpflichtungen - die Vorbringen der Beschwerdeführenden in einem rechtsstaatlichen Verfahren geprüft haben. Die unsubstantiierte und pauschale Behauptung der Beschwerdeführenden, in Deutschland keine fairen Verfahren erhalten zu haben, ändert daran nichts. Es liegen keine konkreten Hinweise vor, wonach die Behandlung ihrer Asylgesuche in Deutschland mangelhaft gewesen sein könnte und ihre Wegweisungen in Verletzung des Non-Refoulement-Prinzips verfügt worden wären, wie es sich für Personen, deren Flüchtlingseigenschaft - wie bei den Beschwerdeführenden - verneint wurde, aus Art. 4 der EU-Grundrechtecharta, Art. 3 EMRK und Art. 3 FoK ableitet (vgl. für Flüchtlinge Art. 33 FK). Mithin liegt es im Falle der erzwungenen Rückkehr nach Deutschland an den Beschwerdeführenden, sich allenfalls um eine erneute Überprüfung ihrer negativen Asyl- und Wegweisungsentscheide beziehungsweise deren Vollzuges zu bemühen.</w:t>
      </w:r>
    </w:p>
    <w:p>
      <w:r>
        <w:rPr>
          <w:b/>
        </w:rPr>
        <w:t>E. 3.2.5</w:t>
      </w:r>
    </w:p>
    <w:p>
      <w:r>
        <w:t>Angesichts der unsubstantiierten diesbezüglichen Beschwerdevorbringen gibt es auch keinen hinreichenden Grund zur Annahme, dass die von den Beschwerdeführenden bei einer Überstellung nach Deutschland zu erwartenden Lebensbedingungen derart schlecht wären, dass sie zu einer Verletzung von Art. 3 EMRK führen könnten.</w:t>
      </w:r>
    </w:p>
    <w:p>
      <w:r>
        <w:rPr>
          <w:b/>
        </w:rPr>
        <w:t>E. 3.2.6</w:t>
      </w:r>
    </w:p>
    <w:p>
      <w:r>
        <w:t>Hinsichtlich der geltend gemachten Bedrohung durch den (Ex-)Ehemann der Beschwerdeführerin 1 ist sodann zu betonen, dass Deutschland ein Rechtsstaat mit funktionierendem Justizsystem ist und über schutzwillige und -fähige Polizeibehörden verfügt, deren Hilfe die Beschwerdeführenden im Falle einer auftretenden oder erwarteten Bedrohung in Anspruch nehmen können.</w:t>
      </w:r>
    </w:p>
    <w:p>
      <w:r>
        <w:rPr>
          <w:b/>
        </w:rPr>
        <w:t>E. 3.2.7</w:t>
      </w:r>
    </w:p>
    <w:p>
      <w:r>
        <w:t>Die auf Beschwerdeebene wiederholend vorgebrachte und diagnostizierte psychische Beeinträchtigung der Beschwerdeführerin 1 (vgl. oben E. 3.1) und ihre erstmals in der Beschwerdeschrift vom 14. April 2025 vorgebrachte körperliche Beeinträchtigung (Sehstörung) sowie die geltend gemachte psychische Beeinträchtigung des Beschwerdeführers 2 sind im Lichte der diesbezüglichen Rechtsprechung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nicht als derart schwerwiegend anzusehen, dass aus humanitären Gründen oder gar wegen einer drohenden Verletzung von Art. 3 EMRK von einer Überstellung nach Deutschland abgesehen werden müsste. Im Übrigen verfügt Deutschland über eine ausreichende medizinische Infrastruktur für ihre Behandlung (vgl. anstatt vieler Urteil des BVGer D-7266/2023 vom 8. Januar 2024 E. 8.5) und ist verpflichtet, den Beschwerdeführenden die erforderliche medizinische Versorgung zugänglich zu machen. Es liegen sodann auch keine Hinweise vor, wonach Deutschland den Beschwerdeführenden eine adäquate medizinische Behandlung verweigern würde.</w:t>
      </w:r>
    </w:p>
    <w:p>
      <w:r>
        <w:rPr>
          <w:b/>
        </w:rPr>
        <w:t>E. 3.2.8</w:t>
      </w:r>
    </w:p>
    <w:p>
      <w:r>
        <w:t>Zudem werden die schweizerischen Behörden, die mit dem Vollzug der angefochtenen Verfügungen beauftragt sind, die deutschen Behörden in geeigneter Weise über allfällige spezifische medizinische Bedürfnisse und Umstände der Beschwerdeführenden informieren (Art. 31 f. Dublin-III-VO). In den Überstellungsmodalitäten ist bereits vermerkt, dass bei der Beschwerdeführerin 1 der Verdacht auf eine akute Belastungsreaktion (Differentialverdachtsdiagnose: Anpassungsstörung) besteht (SEM-act. 40/1).</w:t>
      </w:r>
    </w:p>
    <w:p>
      <w:r>
        <w:rPr>
          <w:b/>
        </w:rPr>
        <w:t>E. 3.2.9</w:t>
      </w:r>
    </w:p>
    <w:p>
      <w:r>
        <w:t>Schliesslich sind keine Umstände ersichtlich oder werden substantiiert geltend gemacht, aufgrund derer das übergeordnete Kindesinteresse (Art. 3 Abs. 1 des Übereinkommens über die Rechte des Kindes vom 20. November 1989 [KRK; SR 0.107]) einer Überstellung der Beschwerdeführer 2-4 nach Deutschland in entscheiderheblichem Mass entgegenstehen könnte. Sie werden gemeinsam mit der Beschwer-deführerin 1, ihrer Mutter und Hauptbezugsperson, nach Deutschland überstellt. Aus der Kinderrechtskonvention kann sodann kein Anspruch auf Aufenthalt im Staat mit den für ein Kind vorteilhaftesten Lebens-bedingungen abgeleitet werden (vgl. BGE 143 I 21 E. 5.5.2; Urteil des BVGer F-2162/2024 vom 15. April 2024 E. 6.1; je m.w.H.).</w:t>
      </w:r>
    </w:p>
    <w:p>
      <w:r>
        <w:rPr>
          <w:b/>
        </w:rPr>
        <w:t>E. 4</w:t>
      </w:r>
    </w:p>
    <w:p>
      <w:r>
        <w:t>Nach dem Gesagten kann der Vorinstanz auch nicht vorgeworfen werden, den rechtserheblichen Sachverhalt unvollständig festgestellt zu haben, weshalb der entsprechende Eventualantrag auf Rückweisung der Sache an die Vorinstanz abzuweisen ist. Ebenso wenig besteht Anlass, die Vorinstanz anzuweisen, von den deutschen Behörden individuelle Zusicherungen im Sinne des Subeventualantrags einzuholen, weshalb auch dieser abzuweisen ist.</w:t>
      </w:r>
    </w:p>
    <w:p>
      <w:r>
        <w:rPr>
          <w:b/>
        </w:rPr>
        <w:t>E. 5</w:t>
      </w:r>
    </w:p>
    <w:p>
      <w:r>
        <w:t>Aus den vorstehenden Erwägungen ergibt sich, dass die angefochtene Verfügung vom 7. April 2025 nicht zu beanstanden und die Beschwerde vollumfänglich abzuweisen ist.</w:t>
      </w:r>
    </w:p>
    <w:p>
      <w:r>
        <w:rPr>
          <w:b/>
        </w:rPr>
        <w:t>E. 6</w:t>
      </w:r>
    </w:p>
    <w:p>
      <w:r>
        <w:t>Mit vorliegendem Urteil wird der Antrag auf Gewährung der aufschiebenden Wirkung vom 14. April 2025 gegenstandslos und fällt der am 15. April 2025 angeordnete Vollzugsstopp dahin.</w:t>
      </w:r>
    </w:p>
    <w:p>
      <w:r>
        <w:rPr>
          <w:b/>
        </w:rPr>
        <w:t>E. 7</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der Beschwerdeführerin 1 aufzuerlegen (Art. 63 Abs. 1 VwVG, Art. 6 Bst. b des Reglements vom 21. Februar 2008 über die Kosten und Entschädigungen vor dem Bundesverwaltungsgericht [VGKE, SR 173.320.2]) und auf insgesamt Fr. 750.-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