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F-2620/2025 vom 12. Juni 2025</w:t>
      </w:r>
    </w:p>
    <w:p>
      <w:r>
        <w:t>Bundesverwaltungsgericht, 2025-06-12, DE</w:t>
      </w:r>
    </w:p>
    <w:p>
      <w:r>
        <w:rPr>
          <w:b/>
        </w:rPr>
        <w:t xml:space="preserve">Quelle: </w:t>
      </w:r>
      <w:r>
        <w:t>https://mcp.opencaselaw.ch/entscheid/bvger_F-2620_2025</w:t>
      </w:r>
    </w:p>
    <w:p>
      <w:r>
        <w:t>FR: TAF F-2620/2025 du 12 juin 2025</w:t>
      </w:r>
    </w:p>
    <w:p>
      <w:r>
        <w:t>IT: TAF F-2620/2025 del 12 giugno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 unter Vorbehalt nachfolgender Erwägung - einzutreten (Art. 108 Abs. 3 AsylG sowie Art. 52 Abs. 1 VwVG).</w:t>
      </w:r>
    </w:p>
    <w:p>
      <w:r>
        <w:rPr>
          <w:b/>
        </w:rPr>
        <w:t>E. 1.4</w:t>
      </w:r>
    </w:p>
    <w:p>
      <w:r>
        <w:t>Verfahrensgegenstand ist der Nichteintretensentscheid des SEM gemäss Art. 31a Abs. 1 Bst. b AsylG. Da das Fehlen von Überstellungshindernissen bereits Voraussetzung dieses Nichteintretensentscheides ist, sind allfällige Vollzugshindernisse gemäss Art. 83 Abs. 3 und 4 AIG (SR 142.20) unter diesen Umständen nicht mehr zu prüfen (vgl. BVGE 2015/18 E. 5.2 m.w.H.). Auch die Feststellung der Flüchtlingseigenschaft oder des Asyls waren nicht Gegenstand des vorliegenden Verfahrens. Mithin stellt der Antrag, es sei ihm humanitäres Asyl zu gewähren, eine unzulässige Erweiterung des Streitgegenstandes dar, weshalb auf diesen nicht einzutreten ist.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3.2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3.3</w:t>
      </w:r>
    </w:p>
    <w:p>
      <w:r>
        <w:t>Die Pflicht eines Mitgliedstaates zur Wiederaufnahme eines Antragstellers nach Art. 18 Abs. 1 Bst. d Dublin-III-VO erlischt, wenn der zuständige Mitgliedstaat nachweisen kann, dass der Antragsteller das Hoheitsgebiet der Mitgliedstaaten für mindestens drei Monate verlassen hat (Art. 19 Abs. 2 Dublin-III-VO).</w:t>
      </w:r>
    </w:p>
    <w:p>
      <w:r>
        <w:rPr>
          <w:b/>
        </w:rPr>
        <w:t>E. 4</w:t>
      </w:r>
    </w:p>
    <w:p>
      <w:r>
        <w:t>Nachdem die deutschen Behörden dem Wiederaufnahmegesuch des SEM am 1. April 2025 zugestimmt haben, ist die Zuständigkeit Deutschlands prinzipiell gegeben. Sodann ist in grundlegender Hinsicht festzuhalten, dass die Dublin-III-VO den Schutzsuchenden kein Recht einräumt, den ihren Antrag prüfenden Staat selber auszuwählen (vgl. BVGE 2010/45 E. 8.3).</w:t>
      </w:r>
    </w:p>
    <w:p>
      <w:r>
        <w:rPr>
          <w:b/>
        </w:rPr>
        <w:t>E. 5.1</w:t>
      </w:r>
    </w:p>
    <w:p>
      <w:r>
        <w:t>Mit Blick auf Art. 3 Abs. 2 Dublin-III-VO ist festzuhalten, dass das Asylverfahren in Deutschland keine systemischen Schwachstellen aufweist (Art. 3 Abs. 2 Dublin-III-VO). Unter Hinweis auf die konstante Praxis des Bundesverwaltungsgerichts (vgl. etwa die Urteile des BVGer F-3296/2025 vom 15. Mai 2025 E. 6; F-2124/2024 vom 11. April 2024 E. 5.1; D-3964/2023 vom 19. Juli 2023 E. 7.3, D-2755/2023 vom 14. Juli 2023 E. 6.2, E-3051/2023 vom 1. Juni 2023 E. 6.2 und D-1442/2023 vom 22. März 2023 E. 8.1) erübrigen sich diesbezüglich weitere Erörterungen.</w:t>
      </w:r>
    </w:p>
    <w:p>
      <w:r>
        <w:rPr>
          <w:b/>
        </w:rPr>
        <w:t>E. 5.2</w:t>
      </w:r>
    </w:p>
    <w:p>
      <w:r>
        <w:t>Unter diesen Umständen ist die Anwendung von Art. 3 Abs. 2 Dublin-III-VO nicht gerechtfertigt.</w:t>
      </w:r>
    </w:p>
    <w:p>
      <w:r>
        <w:rPr>
          <w:b/>
        </w:rPr>
        <w:t>E. 6</w:t>
      </w:r>
    </w:p>
    <w:p>
      <w:r>
        <w:t>Als weitere potentielle Rechtsgrundlage für einen Zuständigkeitsübergang auf die Schweiz ist Art. 17 Abs. 1 Dublin-III-VO zu prüfen.</w:t>
      </w:r>
    </w:p>
    <w:p>
      <w:r>
        <w:rPr>
          <w:b/>
        </w:rPr>
        <w:t>E. 6.1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6.2</w:t>
      </w:r>
    </w:p>
    <w:p>
      <w:r>
        <w:t>Mangels systemischer Mängel im Sinne von Art. 3 Abs. 2 Dublin-III-VO (vgl. E. 5 hiervor) kann vermutungsweise davon ausgegangen werden, dass Deutschland seinen völker- und gemeinschaftsrechtlichen Verpflichtungen gegenüber Personen in der Situation des Beschwerdeführers nachkommt und insbesondere auch die Rechte respektiert und schützt, die sich aus der Verfahrens- und Aufnahmerichtlinie ergeben (vgl. Urteile des BVGer E-4933/2023 vom 22. September 2023; E-4531/2023 vom 28. August 2023). Diese Vermutung kann zwar im Einzelfall widerlegt werden. Hierfür bedarf es aber konkreter und ernsthafter Hinweise, die von der betroffenen Person glaubhaft darzutun sind (vgl. BVGE 2010/45 E. 7.4 f.; Urteil des BVGer D-5698/2017 vom 6. März 2018 E. 5.3.1). Der Beschwerdeführer führt in diesem Zusammenhang aus, er sei in Deutschland behördlichem Druck und einer schlechten Behandlung durch Polizeibeamte ausgesetzt gewesen. Anlässlich der Polizeihaft habe er deshalb einen Selbstmordversuch verübt. Zudem hätten im Lager unhygienische Zustände geherrscht und es seien abgelaufene (...)produkte verteilt worden, die bei ihm zu einer Vergiftung geführt hätten. Auch habe er sich im Rahmen des damaligen Asylverfahrens vor Gericht nicht genügend äussern können, da Druck auf ihn ausgeübt worden sei. Der Beschwerdeführer vermochte seine Ausführungen jedoch nicht zu konkretisieren oder durch geeignete Unterlagen zu belegen, obwohl er eigenen Angaben zufolge über etliche Beweismittel (Dokumente; Videos; Fotos) verfüge. Jedenfalls lassen die der Beschwerde beigelegten Farbkopien der Fotos keine Rückschlüsse auf den Ort und den Zeitpunkt deren Entstehung sowie der darauf abgebildeten Personen zu, soweit sie überhaupt in einen Bezug mit den vom Beschwerdeführer geschilderten Ereignissen gestellt werden können. Demnach vermag er auf Beschwerdeebene keine konkreten Hinweise für die Annahme glaubhaft zu machen, Deutschland würde ihm dauerhaft die ihm gemäss Aufnahmerichtlinie zustehenden minimalen Lebensbedingungen vorenthalten und/oder die ihm zustehenden Rechte verletzen. Allein aus dem Umstand, dass die deutschen Asylbehörden sein Asylgesuch bereits abgelehnt haben (vgl. SEM act. 10), lässt sich nicht ableiten, deren Entscheid sei nicht im Rahmen eines rechtsstaatlich korrekten Verfahrens ergangen. Es liegen auch keine Anhaltspunkte vor, die darauf schliessen lassen, Deutschland habe im Falle des Beschwerdeführers den Grundsatz des Non-Refoulement gemäss Art. 33 FK und Art. 3 EMRK nicht beachtet und beabsichtige, ihn in die Türkei zurückzuschaffen, ohne geprüft zu haben, ob ihm dort flüchtlingsrechtlich relevante Verfolgung oder eine menschenrechtswidrige Behandlung drohen würde. Im Übrigen hat der Beschwerdeführer die Möglichkeit, den deutschen Behörden allfällige Wiederaufnahme- oder Wiedererwägungsgründe im Rahmen eines Folgeantrags nach Art. 40 Verfahrensrichtlinie zu unterbreiten und auf diese Weise eine erneute Überprüfung des negativen Entscheides zu erwirken. Hinsichtlich des geltend gemachten, jedoch nicht weiter belegten behördlichen Drucks, der während seines Asylverfahrens gegen ihn ausgeübt worden sei, kann er sich an die zuständigen Polizei- und Justizbehörden wenden respektive den Rechtsmittelweg beschreiten. Deutschland ist ein Rechtsstaat und die Behörden sind gewillt und fähig, staatlichen Schutz zu gewähren. Es bestehen keine konkreten Hinweise dafür, dass er den benötigten Schutz dort nicht erhalten würde.</w:t>
      </w:r>
    </w:p>
    <w:p>
      <w:r>
        <w:rPr>
          <w:b/>
        </w:rPr>
        <w:t>E. 6.3</w:t>
      </w:r>
    </w:p>
    <w:p>
      <w:r>
        <w:t>Was den medizinischen Sachverhalt angeht, so kann eine zwangsweise Rückweisung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 bestätigt durch Urteil des EGMR Savran gegen Dänemark vom 7. Dezember 2021, Grosse Kammer, Nr. 57467/15, §§ 121 ff.). Eine solche Situation liegt hier offenkundig nicht vor. Weder aus der Beschwerdeschrift noch aus den vorinstanzlichen Akten sind Gründe ersichtlich, die für die Ausübung des Selbsteintrittsrechts sprechen würden. Die Vorinstanz hat sich in Kenntnis der gestellten Diagnosen (vgl. SEM act. 17 und 19) ausführlich mit dem Gesundheitszustand des Beschwerdeführers, seinem Aufenthalt in der (Nennung Klinik) und einer möglichen Suizidalität auseinandergesetzt und ist zum Ergebnis gelangt, dass angesichts der ausreichenden medizinischen Infrastruktur und Notfallversorgung kein medizinischer Behandlungsbedarf ersichtlich ist, der ein Hindernis für eine Überstellung nach Deutschland darstellen würde (vgl. SEM act. 24 S. 5). Diese Ausführungen sind vorliegend zu bestätigen. Wohl hat der Beschwerdeführer auf Beschwerdeebene am 27. Mai 2025 weitere ärztliche Unterlagen eingereicht. Die darin gestellten Diagnosen lassen jedoch keine wesentliche Änderung respektive Verschlimmerung seiner gesundheitlichen Situation seit dem vorinstanzlichen Verfahren erkennen. Es bestehen keine Anhaltspunkte dafür, dass ihm in Deutschland nach einer Überstellung die erforderliche medizinische (Weiter-)Behandlung verweigert würde, zumal die Mitgliedstaaten zur Erbringung medizinischer Leistungen verpflichtet sind (vgl. Art. 26 Aufnahmerichtlinie). Nach seiner Ankunft in Deutschland kann sich der Beschwerdeführer zwecks Weiterbehandlung seiner Beschwerden an die dortigen medizinischen Institutionen wenden. Die mit dem Vollzug der angefochtenen Verfügung beauftragten Behörden werden den medizinischen Umständen bei der Bestimmung der konkreten Modalitäten der Überstellung des Beschwerdeführers Rechnung tragen und die deutschen Behörden vorgängig in geeigneter Weise über die spezifischen medizinischen Umstände informieren (vgl. Art. 31 f. Dublin-III-VO). Auf diese Weise kann eine lückenlose Betreuung sichergestellt werden. Der medizinische Sachverhalt ist als genügend abgeklärt zu beurteilen. Der Beschwerdeführer führt an, psychisch sehr angeschlagen zu sein und im Falle einer Abweisung der Beschwerde beziehungsweise Überstellung nach Deutschland seinem Leben ein Ende setzen zu wollen. Gemäss konstanter Praxis des Bundesverwaltungsgerichts können Suiziddrohungen für sich alleine den Vollzug einer Wegweisung nicht in Frage stellen, solange konkrete Massnahmen zur Verhütung der Umsetzung einer Drohung getroffen werden (vgl. statt vieler Urteil E-1307/2025 vom 13. März 2025 E. 7.2.5 m.H.). Auch nach bundesgerichtlicher Rechtsprechung stellt Suizidalität für sich allein kein Vollzugshindernis dar (vgl. Urteile des BGer 2C_221/2020 vom 19. Juni 2020 E. 2 oder 2C_856/2015 vom 10. Oktober 2015 E. 3.2.1). Allfälligen suizidalen Tendenzen ist im Hinblick auf einen zwangsweisen Wegweisungsvollzug durch geeignete medizinische Massnahmen und Betreuung entgegenzuwirken. Eine sorgfältige Vorbereitung der Rückkehr des Beschwerdeführers wird es ihm ermöglichen, die hinsichtlich seiner Gesundheitsprobleme benötigte ärztliche Versorgung zu organisieren respektive einzufordern. Eine Überstellung verstösst demnach auch in dieser Hinsicht nicht gegen Art. 3 EMRK (vgl. Urteil des EGMR A.S. gegen die Schweiz vom vom 30 Juni 2015, Nr. 39350/13, § 34).</w:t>
      </w:r>
    </w:p>
    <w:p>
      <w:r>
        <w:rPr>
          <w:b/>
        </w:rPr>
        <w:t>E. 6.4</w:t>
      </w:r>
    </w:p>
    <w:p>
      <w:r>
        <w:t>Bei dieser Sachlage besteht kein Anlass, die Sache zur vollständigen Erstellung des Sachverhalts an das SEM zurückzuweisen. Das entsprechende Eventualbegehren (Rechtsbegehren Ziff. 2) ist somit abzuweisen.</w:t>
      </w:r>
    </w:p>
    <w:p>
      <w:r>
        <w:rPr>
          <w:b/>
        </w:rPr>
        <w:t>E. 7.1</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w:t>
      </w:r>
    </w:p>
    <w:p>
      <w:r>
        <w:t>Nach dem Gesagten besteht kein Grund für eine Anwendung der Ermessensklauseln von Art. 17 Dublin-III-VO. Somit bleibt Deutschland der für die Behandlung des Asylgesuches des Beschwerdeführers zuständige Mitgliedstaat gemäss Dublin-III-VO. Vor diesem Hintergrund erübrigt es sich, die Vorinstanz anzuweisen, individuelle Zusicherungen der deutschen Behörden hinsichtlich Zugangs zum Asylverfahren, adäquater medizinischer Versorgung und Unterbringung einzuholen. Der entsprechende Subeventualantrag (Rechtsbegehren Ziff. 3) ist abzuweisen.</w:t>
      </w:r>
    </w:p>
    <w:p>
      <w:r>
        <w:rPr>
          <w:b/>
        </w:rPr>
        <w:t>E. 8</w:t>
      </w:r>
    </w:p>
    <w:p>
      <w:r>
        <w:t>Das SEM ist zu Recht in Anwendung von Art. 31a Abs. 1 Bst. b AsylG auf das Asylgesuch des Beschwerdeführers nicht eingetreten. Die Überstellung nach Deutschland wurde in Anwendung von Art. 44 AsylG ebenfalls zu Recht angeordnet.</w:t>
      </w:r>
    </w:p>
    <w:p>
      <w:r>
        <w:rPr>
          <w:b/>
        </w:rPr>
        <w:t>E. 9</w:t>
      </w:r>
    </w:p>
    <w:p>
      <w:r>
        <w:t>Die Beschwerde ist abzuweisen, soweit darauf einzutreten ist, und die Verfügung des SEM ist zu bestätigen.</w:t>
      </w:r>
    </w:p>
    <w:p>
      <w:r>
        <w:rPr>
          <w:b/>
        </w:rPr>
        <w:t>E. 10.1</w:t>
      </w:r>
    </w:p>
    <w:p>
      <w:r>
        <w:t>Bei diesem Ausgang des Verfahrens wären die Kosten grundsätzlich dem Beschwerdeführer aufzuerlegen (Art. 63 Abs. 1 VwVG). Ihm wurde jedoch mit Zwischenverfügung vom 28. April 2025 die unentgeltliche Prozessführung gewährt. Es sind demzufolge keine Verfahrenskosten zu erheben.</w:t>
      </w:r>
    </w:p>
    <w:p>
      <w:r>
        <w:rPr>
          <w:b/>
        </w:rPr>
        <w:t>E. 10.2</w:t>
      </w:r>
    </w:p>
    <w:p>
      <w:r>
        <w:t>Ebenfalls mit Zwischenverfügung vom 28. April 2025 wurde das Gesuch um entgeltliche Rechtsverbeiständung gutgeheissen und der Beschwerdeführer aufgefordert, innert Frist eine Rechtsvertretung zu benennen. Mit Eingabe vom 12. Mai 2025 zeigte Rechtsanwalt Urs Ebnöther die rechtliche Vertretung des Beschwerdeführers an. Er ist für das vorliegende Verfahren als amtlicher Rechtsbeistand einzusetzen. Das Gericht setzt die Parteientschädigung und die Entschädigung für amtlich bestellten Anwälte und Anwältinnen auf Grund der Kostennote fest. Wird - wie vorliegend - keine eingereicht, so setzt das Gericht die Entschädigung auf Grund der Akten fest (Art. 14 Abs. 2 VGKE). Deren Höhe ist mit Blick auf den aktenkundigen Aufwand und in Anwendung von Art. 7 ff. VGKE auf insgesamt Fr. 950.- (inkl. Auslagen und Mehrwertsteuer) festzusetzen. Gelangt der Beschwerdeführer später zu hinreichenden Mitteln, so hat er dem Gericht das amtliche Honorar zu vergüten (Art. 65 Abs. 4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